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2009/165 vom 18. März 2010</w:t>
      </w:r>
    </w:p>
    <w:p>
      <w:r>
        <w:t>SG Gerichte, 2010-03-18, DE</w:t>
      </w:r>
    </w:p>
    <w:p>
      <w:r>
        <w:rPr>
          <w:b/>
        </w:rPr>
        <w:t xml:space="preserve">Quelle: </w:t>
      </w:r>
      <w:r>
        <w:t>https://mcp.opencaselaw.ch/entscheid/sg_gerichte_B_2009_165</w:t>
      </w:r>
    </w:p>
    <w:p>
      <w:r>
        <w:t>FR: SG_GERICHTE B 2009/165 du 18 mars 2010</w:t>
      </w:r>
    </w:p>
    <w:p>
      <w:r>
        <w:t>IT: SG_GERICHTE B 2009/165 del 18 marzo 2010</w:t>
      </w:r>
    </w:p>
    <w:p>
      <w:pPr>
        <w:pStyle w:val="Heading2"/>
      </w:pPr>
      <w:r>
        <w:t>Regeste</w:t>
      </w:r>
    </w:p>
    <w:p>
      <w:r>
        <w:t>Steuerrecht, Art. 20 Abs. 1 und Art. 50 Abs. 3 StG (sGS 811.1). Der Tarif für Verheiratete kommt bei der Einkommenssteuer nicht zur Anwendung, wenn die Ehegattin des Steuerpflichtigen im Ausland lebt und eine Gemeinschaft der Eheleute lediglich in den Ferien besteht, selbst wenn der Ehemann den Unterhalt der Ehefrau aus den in der Schweiz erzielten Einkünften leistet (Verwaltungsgericht, B 2009/165).</w:t>
      </w:r>
    </w:p>
    <w:p>
      <w:pPr>
        <w:pStyle w:val="Heading2"/>
      </w:pPr>
      <w:r>
        <w:t>Volltext</w:t>
      </w:r>
    </w:p>
    <w:p>
      <w:r>
        <w:t>St.Gallen Verwaltungsgericht 18.03.2010 B 2009/165 Saint-Gall Verwaltungsgericht 18.03.2010 B 2009/165 San Gallo Verwaltungsgericht 18.03.2010 B 2009/165</w:t>
      </w:r>
    </w:p>
    <w:p>
      <w:r>
        <w:t>Steuerrecht, Art. 20 Abs. 1 und Art. 50 Abs. 3 StG (sGS 811.1). Der Tarif für Verheiratete kommt bei der Einkommenssteuer nicht zur Anwendung, wenn die Ehegattin des Steuerpflichtigen im Ausland lebt und eine Gemeinschaft der Eheleute lediglich in den Ferien besteht, selbst wenn der Ehemann den Unterhalt der Ehefrau aus den in der Schweiz erzielten Einkünften leistet (Verwaltungsgericht, B 2009/165).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