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2009/13 vom 19. August 2009</w:t>
      </w:r>
    </w:p>
    <w:p>
      <w:r>
        <w:t>SG Gerichte, 2009-08-19, DE</w:t>
      </w:r>
    </w:p>
    <w:p>
      <w:r>
        <w:rPr>
          <w:b/>
        </w:rPr>
        <w:t xml:space="preserve">Quelle: </w:t>
      </w:r>
      <w:r>
        <w:t>https://mcp.opencaselaw.ch/entscheid/sg_gerichte_B_2009_13</w:t>
      </w:r>
    </w:p>
    <w:p>
      <w:r>
        <w:t>FR: SG_GERICHTE B 2009/13 du 19 août 2009</w:t>
      </w:r>
    </w:p>
    <w:p>
      <w:r>
        <w:t>IT: SG_GERICHTE B 2009/13 del 19 agosto 2009</w:t>
      </w:r>
    </w:p>
    <w:p>
      <w:pPr>
        <w:pStyle w:val="Heading2"/>
      </w:pPr>
      <w:r>
        <w:t>Regeste</w:t>
      </w:r>
    </w:p>
    <w:p>
      <w:r>
        <w:t>Gastwirtschaftsrecht, Art. 13 Abs. 2 Ziff. 1 in Verbindung mit Art. 7 Abs. 1 lit. c und Art. 8 Abs. 1 lit. b GWG, Art. 21 Abs. 1 und Abs. 2 lit. e GWG (sGS 553.1). Rechtmässigkeit des Entzugs des Gastwirtschaftspatents gegenüber einem Gastwirt, der es wiederholt unterliess, Verstösse gegen das Rauchverbot in seinem Betrieb zu verhindern (Verwaltungsgericht, B 2009/13).</w:t>
      </w:r>
    </w:p>
    <w:p>
      <w:pPr>
        <w:pStyle w:val="Heading2"/>
      </w:pPr>
      <w:r>
        <w:t>Volltext</w:t>
      </w:r>
    </w:p>
    <w:p>
      <w:r>
        <w:t>St.Gallen Verwaltungsgericht 19.08.2009 B 2009/13 Saint-Gall Verwaltungsgericht 19.08.2009 B 2009/13 San Gallo Verwaltungsgericht 19.08.2009 B 2009/13</w:t>
      </w:r>
    </w:p>
    <w:p>
      <w:r>
        <w:t>Gastwirtschaftsrecht, Art. 13 Abs. 2 Ziff. 1 in Verbindung mit Art. 7 Abs. 1 lit. c und Art. 8 Abs. 1 lit. b GWG, Art. 21 Abs. 1 und Abs. 2 lit. e GWG (sGS 553.1). Rechtmässigkeit des Entzugs des Gastwirtschaftspatents gegenüber einem Gastwirt, der es wiederholt unterliess, Verstösse gegen das Rauchverbot in seinem Betrieb zu verhindern (Verwaltungsgericht, B 2009/13).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