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2009/124 vom 24. Februar 2010</w:t>
      </w:r>
    </w:p>
    <w:p>
      <w:r>
        <w:t>SG Gerichte, 2010-02-24, DE</w:t>
      </w:r>
    </w:p>
    <w:p>
      <w:r>
        <w:rPr>
          <w:b/>
        </w:rPr>
        <w:t xml:space="preserve">Quelle: </w:t>
      </w:r>
      <w:r>
        <w:t>https://mcp.opencaselaw.ch/entscheid/sg_gerichte_B_2009_124</w:t>
      </w:r>
    </w:p>
    <w:p>
      <w:r>
        <w:t>FR: SG_GERICHTE B 2009/124 du 24 février 2010</w:t>
      </w:r>
    </w:p>
    <w:p>
      <w:r>
        <w:t>IT: SG_GERICHTE B 2009/124 del 24 febbraio 2010</w:t>
      </w:r>
    </w:p>
    <w:p>
      <w:pPr>
        <w:pStyle w:val="Heading2"/>
      </w:pPr>
      <w:r>
        <w:t>Regeste</w:t>
      </w:r>
    </w:p>
    <w:p>
      <w:r>
        <w:t>Strassenverkehrsrecht, Art. 16 Abs. 2 SVG (SR 741.01). Die im Beschwerdeverfahren erstmals vorgebrachten Einwände gegen die Korrektheit der Geschwindigkeitsmessung vermochten keine fehlerhafte Feststellung des Sachverhalts darzutun (Verwaltungsgericht, B 2009/124).</w:t>
      </w:r>
    </w:p>
    <w:p>
      <w:pPr>
        <w:pStyle w:val="Heading2"/>
      </w:pPr>
      <w:r>
        <w:t>Volltext</w:t>
      </w:r>
    </w:p>
    <w:p>
      <w:r>
        <w:t>St.Gallen Verwaltungsgericht 24.02.2010 B 2009/124 Saint-Gall Verwaltungsgericht 24.02.2010 B 2009/124 San Gallo Verwaltungsgericht 24.02.2010 B 2009/124</w:t>
      </w:r>
    </w:p>
    <w:p>
      <w:r>
        <w:t>Strassenverkehrsrecht, Art. 16 Abs. 2 SVG (SR 741.01). Die im Beschwerdeverfahren erstmals vorgebrachten Einwände gegen die Korrektheit der Geschwindigkeitsmessung vermochten keine fehlerhafte Feststellung des Sachverhalts darzutun (Verwaltungsgericht, B 2009/124).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