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2008/232 vom 9. Juli 2009</w:t>
      </w:r>
    </w:p>
    <w:p>
      <w:r>
        <w:t>SG Gerichte, 2009-07-09, DE</w:t>
      </w:r>
    </w:p>
    <w:p>
      <w:r>
        <w:rPr>
          <w:b/>
        </w:rPr>
        <w:t xml:space="preserve">Quelle: </w:t>
      </w:r>
      <w:r>
        <w:t>https://mcp.opencaselaw.ch/entscheid/sg_gerichte_B_2008_232</w:t>
      </w:r>
    </w:p>
    <w:p>
      <w:r>
        <w:t>FR: SG_GERICHTE B 2008/232 du 9 juillet 2009</w:t>
      </w:r>
    </w:p>
    <w:p>
      <w:r>
        <w:t>IT: SG_GERICHTE B 2008/232 del 9 luglio 2009</w:t>
      </w:r>
    </w:p>
    <w:p>
      <w:pPr>
        <w:pStyle w:val="Heading2"/>
      </w:pPr>
      <w:r>
        <w:t>Regeste</w:t>
      </w:r>
    </w:p>
    <w:p>
      <w:r>
        <w:t>Sozialhilfe, Art. 9, Art. 11 Abs. 1 SHG (sGS 381.1). Bei der Festlegung von Sozialhilfeleistungen sind die Verhältnisse im Zeitraum, in dem die Verfügung wirksam wird, zu berücksichtigen. Lebt eine Person mit ihrer Mutter zusammen, ist es zulässig, die Ansätze für einen Zweipersonenhaushalt anzuwenden (Verwaltungsgericht, B 2008/232).</w:t>
      </w:r>
    </w:p>
    <w:p>
      <w:pPr>
        <w:pStyle w:val="Heading2"/>
      </w:pPr>
      <w:r>
        <w:t>Volltext</w:t>
      </w:r>
    </w:p>
    <w:p>
      <w:r>
        <w:t>St.Gallen Verwaltungsgericht 09.07.2009 B 2008/232 Saint-Gall Verwaltungsgericht 09.07.2009 B 2008/232 San Gallo Verwaltungsgericht 09.07.2009 B 2008/232</w:t>
      </w:r>
    </w:p>
    <w:p>
      <w:r>
        <w:t>Sozialhilfe, Art. 9, Art. 11 Abs. 1 SHG (sGS 381.1). Bei der Festlegung von Sozialhilfeleistungen sind die Verhältnisse im Zeitraum, in dem die Verfügung wirksam wird, zu berücksichtigen. Lebt eine Person mit ihrer Mutter zusammen, ist es zulässig, die Ansätze für einen Zweipersonenhaushalt anzuwenden (Verwaltungsgericht, B 2008/232).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