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2008/209 vom 19. Juni 2009</w:t>
      </w:r>
    </w:p>
    <w:p>
      <w:r>
        <w:t>SG Gerichte, 2009-06-19, DE</w:t>
      </w:r>
    </w:p>
    <w:p>
      <w:r>
        <w:rPr>
          <w:b/>
        </w:rPr>
        <w:t xml:space="preserve">Quelle: </w:t>
      </w:r>
      <w:r>
        <w:t>https://mcp.opencaselaw.ch/entscheid/sg_gerichte_B_2008_209</w:t>
      </w:r>
    </w:p>
    <w:p>
      <w:r>
        <w:t>FR: SG_GERICHTE B 2008/209 du 19 juin 2009</w:t>
      </w:r>
    </w:p>
    <w:p>
      <w:r>
        <w:t>IT: SG_GERICHTE B 2008/209 del 19 giugno 2009</w:t>
      </w:r>
    </w:p>
    <w:p>
      <w:pPr>
        <w:pStyle w:val="Heading2"/>
      </w:pPr>
      <w:r>
        <w:t>Regeste</w:t>
      </w:r>
    </w:p>
    <w:p>
      <w:r>
        <w:t>Tierhaltung, Verhältnismässigkeit eines Tierhalteverbots, Art. 5 Abs. 2 BV (SR 101), Art. 23 Abs. 1 TSchG (SR 455). Vereinzelte Verstösse gegen formelle und materielle Bestimmungen des Tierschutzgesetzes rechtfertigen im Streitfall ein generelles Tierhalteverbot nicht (Verwaltungsgericht, B 2008/209)</w:t>
      </w:r>
    </w:p>
    <w:p>
      <w:pPr>
        <w:pStyle w:val="Heading2"/>
      </w:pPr>
      <w:r>
        <w:t>Volltext</w:t>
      </w:r>
    </w:p>
    <w:p>
      <w:r>
        <w:t>St.Gallen Verwaltungsgericht 19.06.2009 B 2008/209 Saint-Gall Verwaltungsgericht 19.06.2009 B 2008/209 San Gallo Verwaltungsgericht 19.06.2009 B 2008/209</w:t>
      </w:r>
    </w:p>
    <w:p>
      <w:r>
        <w:t>Tierhaltung, Verhältnismässigkeit eines Tierhalteverbots, Art. 5 Abs. 2 BV (SR 101), Art. 23 Abs. 1 TSchG (SR 455). Vereinzelte Verstösse gegen formelle und materielle Bestimmungen des Tierschutzgesetzes rechtfertigen im Streitfall ein generelles Tierhalteverbot nicht (Verwaltungsgericht, B 2008/209)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