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2008/202 vom 22. Januar 2009</w:t>
      </w:r>
    </w:p>
    <w:p>
      <w:r>
        <w:t>SG Gerichte, 2009-01-22, DE</w:t>
      </w:r>
    </w:p>
    <w:p>
      <w:r>
        <w:rPr>
          <w:b/>
        </w:rPr>
        <w:t xml:space="preserve">Quelle: </w:t>
      </w:r>
      <w:r>
        <w:t>https://mcp.opencaselaw.ch/entscheid/sg_gerichte_B_2008_202</w:t>
      </w:r>
    </w:p>
    <w:p>
      <w:r>
        <w:t>FR: SG_GERICHTE B 2008/202 du 22 janvier 2009</w:t>
      </w:r>
    </w:p>
    <w:p>
      <w:r>
        <w:t>IT: SG_GERICHTE B 2008/202 del 22 gennaio 2009</w:t>
      </w:r>
    </w:p>
    <w:p>
      <w:pPr>
        <w:pStyle w:val="Heading2"/>
      </w:pPr>
      <w:r>
        <w:t>Regeste</w:t>
      </w:r>
    </w:p>
    <w:p>
      <w:r>
        <w:t>Strafvollzug, Art. 86 Abs. 1 StGB (SR 311.0). Rechtmässigkeit Die Verweigerung der bedingten Entlassung aus dem Strafvollzug ist rechtmässig, wenn aufgrund des Verhaltens im Vollzug nicht erwartet werden kann, der Betroffene werde in Freiheit keine Vergehen und Verbrechen mehr begehen (Verwaltungsgericht, B 2008/202).</w:t>
      </w:r>
    </w:p>
    <w:p>
      <w:pPr>
        <w:pStyle w:val="Heading2"/>
      </w:pPr>
      <w:r>
        <w:t>Volltext</w:t>
      </w:r>
    </w:p>
    <w:p>
      <w:r>
        <w:t>St.Gallen Verwaltungsgericht 22.01.2009 B 2008/202 Saint-Gall Verwaltungsgericht 22.01.2009 B 2008/202 San Gallo Verwaltungsgericht 22.01.2009 B 2008/202</w:t>
      </w:r>
    </w:p>
    <w:p>
      <w:r>
        <w:t>Strafvollzug, Art. 86 Abs. 1 StGB (SR 311.0). Rechtmässigkeit Die Verweigerung der bedingten Entlassung aus dem Strafvollzug ist rechtmässig, wenn aufgrund des Verhaltens im Vollzug nicht erwartet werden kann, der Betroffene werde in Freiheit keine Vergehen und Verbrechen mehr begehen (Verwaltungsgericht, B 2008/202).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