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2007/87 vom 20. April 2007</w:t>
      </w:r>
    </w:p>
    <w:p>
      <w:r>
        <w:t>SG Gerichte, 2007-04-20, DE</w:t>
      </w:r>
    </w:p>
    <w:p>
      <w:r>
        <w:rPr>
          <w:b/>
        </w:rPr>
        <w:t xml:space="preserve">Quelle: </w:t>
      </w:r>
      <w:r>
        <w:t>https://mcp.opencaselaw.ch/entscheid/sg_gerichte_B_2007_87</w:t>
      </w:r>
    </w:p>
    <w:p>
      <w:r>
        <w:t>FR: SG_GERICHTE B 2007/87 du 20 avril 2007</w:t>
      </w:r>
    </w:p>
    <w:p>
      <w:r>
        <w:t>IT: SG_GERICHTE B 2007/87 del 20 aprile 2007</w:t>
      </w:r>
    </w:p>
    <w:p>
      <w:pPr>
        <w:pStyle w:val="Heading2"/>
      </w:pPr>
      <w:r>
        <w:t>Regeste</w:t>
      </w:r>
    </w:p>
    <w:p>
      <w:r>
        <w:t>Strafvollzug, Art. 287 lit. e StP (sGS 962.1). Die Strafvollzugsbehörde beging keine Rechtsverletzung, als sie ein Gesuch vom 20. April 2007 um Verschiebung des Strafantritts vom 25. April 2007 auf Ende Oktober 2007 lediglich bis 2. Juli 2007 bewilligte (Verwaltungsgericht, B 2007/87).</w:t>
      </w:r>
    </w:p>
    <w:p>
      <w:pPr>
        <w:pStyle w:val="Heading2"/>
      </w:pPr>
      <w:r>
        <w:t>Volltext</w:t>
      </w:r>
    </w:p>
    <w:p>
      <w:r>
        <w:t>St.Gallen Verwaltungsgericht 29.08.2007 B 2007/87 Saint-Gall Verwaltungsgericht 29.08.2007 B 2007/87 San Gallo Verwaltungsgericht 29.08.2007 B 2007/87</w:t>
      </w:r>
    </w:p>
    <w:p>
      <w:r>
        <w:t>Strafvollzug, Art. 287 lit. e StP (sGS 962.1). Die Strafvollzugsbehörde beging keine Rechtsverletzung, als sie ein Gesuch vom 20. April 2007 um Verschiebung des Strafantritts vom 25. April 2007 auf Ende Oktober 2007 lediglich bis 2. Juli 2007 bewilligte (Verwaltungsgericht, B 2007/87).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