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2007/26 vom 11. April 2007</w:t>
      </w:r>
    </w:p>
    <w:p>
      <w:r>
        <w:t>SG Gerichte, 2007-04-11, DE</w:t>
      </w:r>
    </w:p>
    <w:p>
      <w:r>
        <w:rPr>
          <w:b/>
        </w:rPr>
        <w:t xml:space="preserve">Quelle: </w:t>
      </w:r>
      <w:r>
        <w:t>https://mcp.opencaselaw.ch/entscheid/sg_gerichte_B_2007_26</w:t>
      </w:r>
    </w:p>
    <w:p>
      <w:r>
        <w:t>FR: SG_GERICHTE B 2007/26 du 11 avril 2007</w:t>
      </w:r>
    </w:p>
    <w:p>
      <w:r>
        <w:t>IT: SG_GERICHTE B 2007/26 del 11 aprile 2007</w:t>
      </w:r>
    </w:p>
    <w:p>
      <w:pPr>
        <w:pStyle w:val="Heading2"/>
      </w:pPr>
      <w:r>
        <w:t>Regeste</w:t>
      </w:r>
    </w:p>
    <w:p>
      <w:r>
        <w:t>Ausländerrecht, Art. 13 lit. f BVO (SR 823.21). Das Ausländeramt hat das Gesuch des Beschwerdeführers um Erteilung einer humanitären Aufenthaltsbewilligung zu Unrecht als Wiedererwägungsgesuch behandelt. Das Ausländeramt und das Justiz- und Polizeidepartement sind an die im rechtskräftigen Urteil des Verwaltungsgerichts getroffene Feststellung, dass der Beschwerdeführer mit seiner ersten Ehefrau keine Scheinehe eingegangen ist, gebunden (Verwaltungsgericht, B 2007/26).</w:t>
      </w:r>
    </w:p>
    <w:p>
      <w:pPr>
        <w:pStyle w:val="Heading2"/>
      </w:pPr>
      <w:r>
        <w:t>Volltext</w:t>
      </w:r>
    </w:p>
    <w:p>
      <w:r>
        <w:t>St.Gallen Verwaltungsgericht 11.04.2007 B 2007/26 Saint-Gall Verwaltungsgericht 11.04.2007 B 2007/26 San Gallo Verwaltungsgericht 11.04.2007 B 2007/26</w:t>
      </w:r>
    </w:p>
    <w:p>
      <w:r>
        <w:t>Ausländerrecht, Art. 13 lit. f BVO (SR 823.21). Das Ausländeramt hat das Gesuch des Beschwerdeführers um Erteilung einer humanitären Aufenthaltsbewilligung zu Unrecht als Wiedererwägungsgesuch behandelt. Das Ausländeramt und das Justiz- und Polizeidepartement sind an die im rechtskräftigen Urteil des Verwaltungsgerichts getroffene Feststellung, dass der Beschwerdeführer mit seiner ersten Ehefrau keine Scheinehe eingegangen ist, gebunden (Verwaltungsgericht, B 2007/26).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