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2007/133 vom 5. November 2007</w:t>
      </w:r>
    </w:p>
    <w:p>
      <w:r>
        <w:t>SG Gerichte, 2007-11-05, DE</w:t>
      </w:r>
    </w:p>
    <w:p>
      <w:r>
        <w:rPr>
          <w:b/>
        </w:rPr>
        <w:t xml:space="preserve">Quelle: </w:t>
      </w:r>
      <w:r>
        <w:t>https://mcp.opencaselaw.ch/entscheid/sg_gerichte_B_2007_133</w:t>
      </w:r>
    </w:p>
    <w:p>
      <w:r>
        <w:t>FR: SG_GERICHTE B 2007/133 du 5 novembre 2007</w:t>
      </w:r>
    </w:p>
    <w:p>
      <w:r>
        <w:t>IT: SG_GERICHTE B 2007/133 del 5 novembre 2007</w:t>
      </w:r>
    </w:p>
    <w:p>
      <w:pPr>
        <w:pStyle w:val="Heading2"/>
      </w:pPr>
      <w:r>
        <w:t>Regeste</w:t>
      </w:r>
    </w:p>
    <w:p>
      <w:r>
        <w:t>Öffentliches Beschaffungswesen, Art. 41 VöB, Art. 34 VöB (sGS 841.11). Anforderungen an die Begründung einer Zuschlagsverfügung. Da der Zuschlag auch im Beschwerdeverfahren nicht schlüssig und nachvollziehbar begründet wurde, führt dies zu dessen Aufhebung und zur Rückweisung der Angelegenheit an die Vergabebehörde (Verwaltungsgericht, B 2007/133).</w:t>
      </w:r>
    </w:p>
    <w:p>
      <w:pPr>
        <w:pStyle w:val="Heading2"/>
      </w:pPr>
      <w:r>
        <w:t>Volltext</w:t>
      </w:r>
    </w:p>
    <w:p>
      <w:r>
        <w:t>St.Gallen Verwaltungsgericht 05.11.2007 B 2007/133 Saint-Gall Verwaltungsgericht 05.11.2007 B 2007/133 San Gallo Verwaltungsgericht 05.11.2007 B 2007/133</w:t>
      </w:r>
    </w:p>
    <w:p>
      <w:r>
        <w:t>Öffentliches Beschaffungswesen, Art. 41 VöB, Art. 34 VöB (sGS 841.11). Anforderungen an die Begründung einer Zuschlagsverfügung. Da der Zuschlag auch im Beschwerdeverfahren nicht schlüssig und nachvollziehbar begründet wurde, führt dies zu dessen Aufhebung und zur Rückweisung der Angelegenheit an die Vergabebehörde (Verwaltungsgericht, B 2007/133).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