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2006/3 vom 21. März 2006</w:t>
      </w:r>
    </w:p>
    <w:p>
      <w:r>
        <w:t>SG Gerichte, 2006-03-21, DE</w:t>
      </w:r>
    </w:p>
    <w:p>
      <w:r>
        <w:rPr>
          <w:b/>
        </w:rPr>
        <w:t xml:space="preserve">Quelle: </w:t>
      </w:r>
      <w:r>
        <w:t>https://mcp.opencaselaw.ch/entscheid/sg_gerichte_B_2006_3</w:t>
      </w:r>
    </w:p>
    <w:p>
      <w:r>
        <w:t>FR: SG_GERICHTE B 2006/3 du 21 mars 2006</w:t>
      </w:r>
    </w:p>
    <w:p>
      <w:r>
        <w:t>IT: SG_GERICHTE B 2006/3 del 21 marzo 2006</w:t>
      </w:r>
    </w:p>
    <w:p>
      <w:pPr>
        <w:pStyle w:val="Heading2"/>
      </w:pPr>
      <w:r>
        <w:t>Regeste</w:t>
      </w:r>
    </w:p>
    <w:p>
      <w:r>
        <w:t>Prämienverbilligung der Krankenversicherung, Art. 11 Abs. 3 EG zum KVG (sGS 331.11). Nur tiefgreifende und dauerhafte Aenderungen der Verhältnisse rechtfertigen es, bei der Ermittlung des Prämienverbilligungsanspruchs von der letzten definitiven Steuerveranlagung abzuweichen, weil diese offensichtlich nicht der wirtschaftlichen Leistungsfähigkeit entspricht (Verwaltungsgericht, B 2006/3).</w:t>
      </w:r>
    </w:p>
    <w:p>
      <w:pPr>
        <w:pStyle w:val="Heading2"/>
      </w:pPr>
      <w:r>
        <w:t>Volltext</w:t>
      </w:r>
    </w:p>
    <w:p>
      <w:r>
        <w:t>St.Gallen Verwaltungsgericht 21.03.2006 B 2006/3 Saint-Gall Verwaltungsgericht 21.03.2006 B 2006/3 San Gallo Verwaltungsgericht 21.03.2006 B 2006/3</w:t>
      </w:r>
    </w:p>
    <w:p>
      <w:r>
        <w:t>Prämienverbilligung der Krankenversicherung, Art. 11 Abs. 3 EG zum KVG (sGS 331.11). Nur tiefgreifende und dauerhafte Aenderungen der Verhältnisse rechtfertigen es, bei der Ermittlung des Prämienverbilligungsanspruchs von der letzten definitiven Steuerveranlagung abzuweichen, weil diese offensichtlich nicht der wirtschaftlichen Leistungsfähigkeit entspricht (Verwaltungsgericht, B 2006/3).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