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2006/208 vom 23. Januar 2007</w:t>
      </w:r>
    </w:p>
    <w:p>
      <w:r>
        <w:t>SG Gerichte, 2007-01-23, DE</w:t>
      </w:r>
    </w:p>
    <w:p>
      <w:r>
        <w:rPr>
          <w:b/>
        </w:rPr>
        <w:t xml:space="preserve">Quelle: </w:t>
      </w:r>
      <w:r>
        <w:t>https://mcp.opencaselaw.ch/entscheid/sg_gerichte_B_2006_208</w:t>
      </w:r>
    </w:p>
    <w:p>
      <w:r>
        <w:t>FR: SG_GERICHTE B 2006/208 du 23 janvier 2007</w:t>
      </w:r>
    </w:p>
    <w:p>
      <w:r>
        <w:t>IT: SG_GERICHTE B 2006/208 del 23 gennaio 2007</w:t>
      </w:r>
    </w:p>
    <w:p>
      <w:pPr>
        <w:pStyle w:val="Heading2"/>
      </w:pPr>
      <w:r>
        <w:t>Regeste</w:t>
      </w:r>
    </w:p>
    <w:p>
      <w:r>
        <w:t>Strassenverkehr, Verkehrsanordnung, Art. 3 Abs. 2 und Abs. 3 sowie Art. 32 SVG (SR 741.01), Art. 108 SSV (SR 741.21). Begegnungszonen mit einer Geschwindigkeitsreduktion auf 20 km/h sind unzulässig, wenn die in Art. 108 Abs. 2 lit. a - d SSV festgelegten Voraussetzungen nicht erfüllt sind (Verwaltungsgericht, B 2006/208).</w:t>
      </w:r>
    </w:p>
    <w:p>
      <w:pPr>
        <w:pStyle w:val="Heading2"/>
      </w:pPr>
      <w:r>
        <w:t>Volltext</w:t>
      </w:r>
    </w:p>
    <w:p>
      <w:r>
        <w:t>St.Gallen Verwaltungsgericht 23.01.2007 B 2006/208 Saint-Gall Verwaltungsgericht 23.01.2007 B 2006/208 San Gallo Verwaltungsgericht 23.01.2007 B 2006/208</w:t>
      </w:r>
    </w:p>
    <w:p>
      <w:r>
        <w:t>Strassenverkehr, Verkehrsanordnung, Art. 3 Abs. 2 und Abs. 3 sowie Art. 32 SVG (SR 741.01), Art. 108 SSV (SR 741.21). Begegnungszonen mit einer Geschwindigkeitsreduktion auf 20 km/h sind unzulässig, wenn die in Art. 108 Abs. 2 lit. a - d SSV festgelegten Voraussetzungen nicht erfüllt sind (Verwaltungsgericht, B 2006/208).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