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2005/74 vom 16. August 2005</w:t>
      </w:r>
    </w:p>
    <w:p>
      <w:r>
        <w:t>SG Gerichte, 2005-08-16, DE</w:t>
      </w:r>
    </w:p>
    <w:p>
      <w:r>
        <w:rPr>
          <w:b/>
        </w:rPr>
        <w:t xml:space="preserve">Quelle: </w:t>
      </w:r>
      <w:r>
        <w:t>https://mcp.opencaselaw.ch/entscheid/sg_gerichte_B_2005_74</w:t>
      </w:r>
    </w:p>
    <w:p>
      <w:r>
        <w:t>FR: SG_GERICHTE B 2005/74 du 16 août 2005</w:t>
      </w:r>
    </w:p>
    <w:p>
      <w:r>
        <w:t>IT: SG_GERICHTE B 2005/74 del 16 agosto 2005</w:t>
      </w:r>
    </w:p>
    <w:p>
      <w:pPr>
        <w:pStyle w:val="Heading2"/>
      </w:pPr>
      <w:r>
        <w:t>Regeste</w:t>
      </w:r>
    </w:p>
    <w:p>
      <w:r>
        <w:t>Ausländerrecht, Art. 7 Abs. 1 ANAG (SR 142.20). Kein Rechtsanspruch eines türkischen Staatsangehörigen auf Erteilung einer Aufenthaltsbewilligung wegen rechtsmissbräuchlicher Berufung auf die Ehe mit einer Schweizerin. Die Verweigerung der Verlängerung der Aufenthaltsbewilligung nach einer ehelichen Gemeinschaft von weniger als zwei Jahren und einem Aufenthalt in der Schweiz von rund vier Jahren ist rechtmässig (Verwaltungsgericht, B 2005/74).</w:t>
      </w:r>
    </w:p>
    <w:p>
      <w:pPr>
        <w:pStyle w:val="Heading2"/>
      </w:pPr>
      <w:r>
        <w:t>Volltext</w:t>
      </w:r>
    </w:p>
    <w:p>
      <w:r>
        <w:t>St.Gallen Verwaltungsgericht 16.08.2005 B 2005/74 Saint-Gall Verwaltungsgericht 16.08.2005 B 2005/74 San Gallo Verwaltungsgericht 16.08.2005 B 2005/74</w:t>
      </w:r>
    </w:p>
    <w:p>
      <w:r>
        <w:t>Ausländerrecht, Art. 7 Abs. 1 ANAG (SR 142.20). Kein Rechtsanspruch eines türkischen Staatsangehörigen auf Erteilung einer Aufenthaltsbewilligung wegen rechtsmissbräuchlicher Berufung auf die Ehe mit einer Schweizerin. Die Verweigerung der Verlängerung der Aufenthaltsbewilligung nach einer ehelichen Gemeinschaft von weniger als zwei Jahren und einem Aufenthalt in der Schweiz von rund vier Jahren ist rechtmässig (Verwaltungsgericht, B 2005/74).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