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2005/4 vom 16. August 2005</w:t>
      </w:r>
    </w:p>
    <w:p>
      <w:r>
        <w:t>SG Gerichte, 2005-08-16, DE</w:t>
      </w:r>
    </w:p>
    <w:p>
      <w:r>
        <w:rPr>
          <w:b/>
        </w:rPr>
        <w:t xml:space="preserve">Quelle: </w:t>
      </w:r>
      <w:r>
        <w:t>https://mcp.opencaselaw.ch/entscheid/sg_gerichte_B_2005_4</w:t>
      </w:r>
    </w:p>
    <w:p>
      <w:r>
        <w:t>FR: SG_GERICHTE B 2005/4 du 16 août 2005</w:t>
      </w:r>
    </w:p>
    <w:p>
      <w:r>
        <w:t>IT: SG_GERICHTE B 2005/4 del 16 agosto 2005</w:t>
      </w:r>
    </w:p>
    <w:p>
      <w:pPr>
        <w:pStyle w:val="Heading2"/>
      </w:pPr>
      <w:r>
        <w:t>Regeste</w:t>
      </w:r>
    </w:p>
    <w:p>
      <w:r>
        <w:t>Kinderheime, Art. 15 Abs. 1 lit. b PAVO (Verordnung des Bundes über die Aufnahme von Kindern zur Pflege und zur Adoption, SR 211.222.338), Art. 2 Abs. 1 lit. a KJV (kantonale Verordnung über Kinder- und Jugendheime, sGS 912.4). Der Entzug der Betriebsbewilligung für ein Kinderheim wegen fehlender Eignung des Heimleiters ist rechtmässig und verhältnismässig. Die Verletzung des Untersuchungsgrundsatzes durch eine mangelhafte, elementaren rechtsstaatlichen Grundsätzen widersprechende Tatsachenfeststellung der erstinstanzlichen Verwaltungsbehörde führt zur Kostenauflage an den Staat (Verwaltungsgericht, B 2005/4).</w:t>
      </w:r>
    </w:p>
    <w:p>
      <w:pPr>
        <w:pStyle w:val="Heading2"/>
      </w:pPr>
      <w:r>
        <w:t>Volltext</w:t>
      </w:r>
    </w:p>
    <w:p>
      <w:r>
        <w:t>St.Gallen Verwaltungsgericht 16.08.2005 B 2005/4 Saint-Gall Verwaltungsgericht 16.08.2005 B 2005/4 San Gallo Verwaltungsgericht 16.08.2005 B 2005/4</w:t>
      </w:r>
    </w:p>
    <w:p>
      <w:r>
        <w:t>Kinderheime, Art. 15 Abs. 1 lit. b PAVO (Verordnung des Bundes über die Aufnahme von Kindern zur Pflege und zur Adoption, SR 211.222.338), Art. 2 Abs. 1 lit. a KJV (kantonale Verordnung über Kinder- und Jugendheime, sGS 912.4). Der Entzug der Betriebsbewilligung für ein Kinderheim wegen fehlender Eignung des Heimleiters ist rechtmässig und verhältnismässig. Die Verletzung des Untersuchungsgrundsatzes durch eine mangelhafte, elementaren rechtsstaatlichen Grundsätzen widersprechende Tatsachenfeststellung der erstinstanzlichen Verwaltungsbehörde führt zur Kostenauflage an den Staat (Verwaltungsgericht, B 2005/4).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