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2005/34 vom 31. Mai 2005</w:t>
      </w:r>
    </w:p>
    <w:p>
      <w:r>
        <w:t>SG Gerichte, 2005-05-31, DE</w:t>
      </w:r>
    </w:p>
    <w:p>
      <w:r>
        <w:rPr>
          <w:b/>
        </w:rPr>
        <w:t xml:space="preserve">Quelle: </w:t>
      </w:r>
      <w:r>
        <w:t>https://mcp.opencaselaw.ch/entscheid/sg_gerichte_B_2005_34</w:t>
      </w:r>
    </w:p>
    <w:p>
      <w:r>
        <w:t>FR: SG_GERICHTE B 2005/34 du 31 mai 2005</w:t>
      </w:r>
    </w:p>
    <w:p>
      <w:r>
        <w:t>IT: SG_GERICHTE B 2005/34 del 31 maggio 2005</w:t>
      </w:r>
    </w:p>
    <w:p>
      <w:pPr>
        <w:pStyle w:val="Heading2"/>
      </w:pPr>
      <w:r>
        <w:t>Regeste</w:t>
      </w:r>
    </w:p>
    <w:p>
      <w:r>
        <w:t>Ausländerrecht, Art. 4 ANAG (SR 142.20). Hält sich eine aus Sri Lanka stammende Frau seit 1985 in der Schweiz auf, so ist es unverhältnismässig, ihre Aufenthaltsbewilligung und jene ihrer Kinder wegen Fürsorgeabhängigkeit und hoher Sozialhilfeleistungen zu verweigern und den Familiennachzu ihres während rund 16 Jahren in der Schweiz wohnhaft gewesenen Ehemannes nicht zu gestatten (Verwaltungsgericht B 2005/34).</w:t>
      </w:r>
    </w:p>
    <w:p>
      <w:pPr>
        <w:pStyle w:val="Heading2"/>
      </w:pPr>
      <w:r>
        <w:t>Volltext</w:t>
      </w:r>
    </w:p>
    <w:p>
      <w:r>
        <w:t>St.Gallen Verwaltungsgericht 31.05.2005 B 2005/34 Saint-Gall Verwaltungsgericht 31.05.2005 B 2005/34 San Gallo Verwaltungsgericht 31.05.2005 B 2005/34</w:t>
      </w:r>
    </w:p>
    <w:p>
      <w:r>
        <w:t>Ausländerrecht, Art. 4 ANAG (SR 142.20). Hält sich eine aus Sri Lanka stammende Frau seit 1985 in der Schweiz auf, so ist es unverhältnismässig, ihre Aufenthaltsbewilligung und jene ihrer Kinder wegen Fürsorgeabhängigkeit und hoher Sozialhilfeleistungen zu verweigern und den Familiennachzu ihres während rund 16 Jahren in der Schweiz wohnhaft gewesenen Ehemannes nicht zu gestatten (Verwaltungsgericht B 2005/34).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