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2005/26 vom 10. Mai 2005</w:t>
      </w:r>
    </w:p>
    <w:p>
      <w:r>
        <w:t>SG Gerichte, 2005-05-10, DE</w:t>
      </w:r>
    </w:p>
    <w:p>
      <w:r>
        <w:rPr>
          <w:b/>
        </w:rPr>
        <w:t xml:space="preserve">Quelle: </w:t>
      </w:r>
      <w:r>
        <w:t>https://mcp.opencaselaw.ch/entscheid/sg_gerichte_B_2005_26</w:t>
      </w:r>
    </w:p>
    <w:p>
      <w:r>
        <w:t>FR: SG_GERICHTE B 2005/26 du 10 mai 2005</w:t>
      </w:r>
    </w:p>
    <w:p>
      <w:r>
        <w:t>IT: SG_GERICHTE B 2005/26 del 10 maggio 2005</w:t>
      </w:r>
    </w:p>
    <w:p>
      <w:pPr>
        <w:pStyle w:val="Heading2"/>
      </w:pPr>
      <w:r>
        <w:t>Regeste</w:t>
      </w:r>
    </w:p>
    <w:p>
      <w:r>
        <w:t>Ausländerrecht, Familiennachzug. Art. 17 Abs. 2 Satz 3 ANAG (SR 142.20) findet sinngemäss auch für Kinder eines Schweizers bzw. einer Schweizerin Anwendung. Im konkreten Fall ist die vorrangige Bindung der Tochter zu ihrer in der Schweiz lebenden Mutter nicht nachgewiesen und es fehlt an stichhaltigen Gründen, die ihren Nachzug zu rechtfertigen vermöchten (Verwaltungsgericht, B 2005/26).</w:t>
      </w:r>
    </w:p>
    <w:p>
      <w:pPr>
        <w:pStyle w:val="Heading2"/>
      </w:pPr>
      <w:r>
        <w:t>Volltext</w:t>
      </w:r>
    </w:p>
    <w:p>
      <w:r>
        <w:t>St.Gallen Verwaltungsgericht 10.05.2005 B 2005/26 Saint-Gall Verwaltungsgericht 10.05.2005 B 2005/26 San Gallo Verwaltungsgericht 10.05.2005 B 2005/26</w:t>
      </w:r>
    </w:p>
    <w:p>
      <w:r>
        <w:t>Ausländerrecht, Familiennachzug. Art. 17 Abs. 2 Satz 3 ANAG (SR 142.20) findet sinngemäss auch für Kinder eines Schweizers bzw. einer Schweizerin Anwendung. Im konkreten Fall ist die vorrangige Bindung der Tochter zu ihrer in der Schweiz lebenden Mutter nicht nachgewiesen und es fehlt an stichhaltigen Gründen, die ihren Nachzug zu rechtfertigen vermöchten (Verwaltungsgericht, B 2005/26).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