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2005/229 vom 9. Mai 2006</w:t>
      </w:r>
    </w:p>
    <w:p>
      <w:r>
        <w:t>SG Gerichte, 2006-05-09, DE</w:t>
      </w:r>
    </w:p>
    <w:p>
      <w:r>
        <w:rPr>
          <w:b/>
        </w:rPr>
        <w:t xml:space="preserve">Quelle: </w:t>
      </w:r>
      <w:r>
        <w:t>https://mcp.opencaselaw.ch/entscheid/sg_gerichte_B_2005_229</w:t>
      </w:r>
    </w:p>
    <w:p>
      <w:r>
        <w:t>FR: SG_GERICHTE B 2005/229 du 9 mai 2006</w:t>
      </w:r>
    </w:p>
    <w:p>
      <w:r>
        <w:t>IT: SG_GERICHTE B 2005/229 del 9 maggio 2006</w:t>
      </w:r>
    </w:p>
    <w:p>
      <w:pPr>
        <w:pStyle w:val="Heading2"/>
      </w:pPr>
      <w:r>
        <w:t>Regeste</w:t>
      </w:r>
    </w:p>
    <w:p>
      <w:r>
        <w:t>Verkehrsbeschränkungen, Art. 3 Abs. 4 SVG (SR 741.01). Gewichtsbeschränkungen auf Brücken dürfen nur angeordnet werden, wenn sie notwendig sind. Eine Notwendigkeit war im konkreten Fall nicht nachgewiesen, weshalb die Angelegenheit zur Einholung eines Gutachtens an die Vorinstanz zurückgewiesen wurde (Verwaltungsgericht, B 2005/229).</w:t>
      </w:r>
    </w:p>
    <w:p>
      <w:pPr>
        <w:pStyle w:val="Heading2"/>
      </w:pPr>
      <w:r>
        <w:t>Volltext</w:t>
      </w:r>
    </w:p>
    <w:p>
      <w:r>
        <w:t>St.Gallen Verwaltungsgericht 09.05.2006 B 2005/229 Saint-Gall Verwaltungsgericht 09.05.2006 B 2005/229 San Gallo Verwaltungsgericht 09.05.2006 B 2005/229</w:t>
      </w:r>
    </w:p>
    <w:p>
      <w:r>
        <w:t>Verkehrsbeschränkungen, Art. 3 Abs. 4 SVG (SR 741.01). Gewichtsbeschränkungen auf Brücken dürfen nur angeordnet werden, wenn sie notwendig sind. Eine Notwendigkeit war im konkreten Fall nicht nachgewiesen, weshalb die Angelegenheit zur Einholung eines Gutachtens an die Vorinstanz zurückgewiesen wurde (Verwaltungsgericht, B 2005/229).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