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2005/162 vom 15. November 2005</w:t>
      </w:r>
    </w:p>
    <w:p>
      <w:r>
        <w:t>SG Gerichte, 2005-11-15, DE</w:t>
      </w:r>
    </w:p>
    <w:p>
      <w:r>
        <w:rPr>
          <w:b/>
        </w:rPr>
        <w:t xml:space="preserve">Quelle: </w:t>
      </w:r>
      <w:r>
        <w:t>https://mcp.opencaselaw.ch/entscheid/sg_gerichte_B_2005_162</w:t>
      </w:r>
    </w:p>
    <w:p>
      <w:r>
        <w:t>FR: SG_GERICHTE B 2005/162 du 15 novembre 2005</w:t>
      </w:r>
    </w:p>
    <w:p>
      <w:r>
        <w:t>IT: SG_GERICHTE B 2005/162 del 15 novembre 2005</w:t>
      </w:r>
    </w:p>
    <w:p>
      <w:pPr>
        <w:pStyle w:val="Heading2"/>
      </w:pPr>
      <w:r>
        <w:t>Regeste</w:t>
      </w:r>
    </w:p>
    <w:p>
      <w:r>
        <w:t>Ausländerrecht, Art. 4 ANAG (SR 142.20); Art. 13 lit. f BVO (SR 823.21). Rechtmässigkeit der Verweigerung der Verlängerung der Aufenthaltsbewilligung einer kroatischen Staatsangehörigen, die 2002 in die Schweiz eingereist und rund eineinhalb Jahre mit einem Schweizer verheiratet war. Vorliegen eines Härtefalls aufgrund des Todes des Ehemannes und eines Kleinkindes aus einer kurz nach dem Tod des Ehemannes eingegangenen neuen Beziehung verneint (Verwaltungsgericht, B 2005/162).</w:t>
      </w:r>
    </w:p>
    <w:p>
      <w:pPr>
        <w:pStyle w:val="Heading2"/>
      </w:pPr>
      <w:r>
        <w:t>Volltext</w:t>
      </w:r>
    </w:p>
    <w:p>
      <w:r>
        <w:t>St.Gallen Verwaltungsgericht 15.11.2005 B 2005/162 Saint-Gall Verwaltungsgericht 15.11.2005 B 2005/162 San Gallo Verwaltungsgericht 15.11.2005 B 2005/162</w:t>
      </w:r>
    </w:p>
    <w:p>
      <w:r>
        <w:t>Ausländerrecht, Art. 4 ANAG (SR 142.20); Art. 13 lit. f BVO (SR 823.21). Rechtmässigkeit der Verweigerung der Verlängerung der Aufenthaltsbewilligung einer kroatischen Staatsangehörigen, die 2002 in die Schweiz eingereist und rund eineinhalb Jahre mit einem Schweizer verheiratet war. Vorliegen eines Härtefalls aufgrund des Todes des Ehemannes und eines Kleinkindes aus einer kurz nach dem Tod des Ehemannes eingegangenen neuen Beziehung verneint (Verwaltungsgericht, B 2005/162).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