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2005/160 vom 6. Juli 2006</w:t>
      </w:r>
    </w:p>
    <w:p>
      <w:r>
        <w:t>SG Gerichte, 2006-07-06, DE</w:t>
      </w:r>
    </w:p>
    <w:p>
      <w:r>
        <w:rPr>
          <w:b/>
        </w:rPr>
        <w:t xml:space="preserve">Quelle: </w:t>
      </w:r>
      <w:r>
        <w:t>https://mcp.opencaselaw.ch/entscheid/sg_gerichte_B_2005_160</w:t>
      </w:r>
    </w:p>
    <w:p>
      <w:r>
        <w:t>FR: SG_GERICHTE B 2005/160 du 6 juillet 2006</w:t>
      </w:r>
    </w:p>
    <w:p>
      <w:r>
        <w:t>IT: SG_GERICHTE B 2005/160 del 6 luglio 2006</w:t>
      </w:r>
    </w:p>
    <w:p>
      <w:pPr>
        <w:pStyle w:val="Heading2"/>
      </w:pPr>
      <w:r>
        <w:t>Regeste</w:t>
      </w:r>
    </w:p>
    <w:p>
      <w:r>
        <w:t>Gebäudeversicherung, Art. 37 Abs. 2 GVG (sGS 873.1), Gleichstellung mit dem Versicherten. Die Frage, ob ein Härtefall vorliegt, der die Gleichstellung rechtfertigt, beurteilt sich auch im Fall von konzernmässig verbundenen Unternehmen nicht nach der wirtschaftlichen Betrachtungsweise (Verwaltungsgericht, B 2005/160)</w:t>
      </w:r>
    </w:p>
    <w:p>
      <w:pPr>
        <w:pStyle w:val="Heading2"/>
      </w:pPr>
      <w:r>
        <w:t>Volltext</w:t>
      </w:r>
    </w:p>
    <w:p>
      <w:r>
        <w:t>St.Gallen Verwaltungsgericht 06.07.2006 B 2005/160 Saint-Gall Verwaltungsgericht 06.07.2006 B 2005/160 San Gallo Verwaltungsgericht 06.07.2006 B 2005/160</w:t>
      </w:r>
    </w:p>
    <w:p>
      <w:r>
        <w:t>Gebäudeversicherung, Art. 37 Abs. 2 GVG (sGS 873.1), Gleichstellung mit dem Versicherten. Die Frage, ob ein Härtefall vorliegt, der die Gleichstellung rechtfertigt, beurteilt sich auch im Fall von konzernmässig verbundenen Unternehmen nicht nach der wirtschaftlichen Betrachtungsweise (Verwaltungsgericht, B 2005/160)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