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2004/47 vom 17. August 2004</w:t>
      </w:r>
    </w:p>
    <w:p>
      <w:r>
        <w:t>SG Gerichte, 2004-08-17, DE</w:t>
      </w:r>
    </w:p>
    <w:p>
      <w:r>
        <w:rPr>
          <w:b/>
        </w:rPr>
        <w:t xml:space="preserve">Quelle: </w:t>
      </w:r>
      <w:r>
        <w:t>https://mcp.opencaselaw.ch/entscheid/sg_gerichte_B_2004_47</w:t>
      </w:r>
    </w:p>
    <w:p>
      <w:r>
        <w:t>FR: SG_GERICHTE B 2004/47 du 17 août 2004</w:t>
      </w:r>
    </w:p>
    <w:p>
      <w:r>
        <w:t>IT: SG_GERICHTE B 2004/47 del 17 agosto 2004</w:t>
      </w:r>
    </w:p>
    <w:p>
      <w:pPr>
        <w:pStyle w:val="Heading2"/>
      </w:pPr>
      <w:r>
        <w:t>Regeste</w:t>
      </w:r>
    </w:p>
    <w:p>
      <w:r>
        <w:t>Gebäudeversicherung, Art. 37 Abs. 2 GVG (sGS 873.1). Wer ein beschädigtes Gebäude im Rahmen einer Betreibung auf Pfandverwertung ersteigert, vermag allein deswegen noch keine achtenswerten Gründe im Sinne des Gesetzes nachzuweisen, die eine Gleichstellung mit dem Versicherten zu rechtfertigen vermöchten (Verwaltungsgericht, B 2004/47).</w:t>
      </w:r>
    </w:p>
    <w:p>
      <w:pPr>
        <w:pStyle w:val="Heading2"/>
      </w:pPr>
      <w:r>
        <w:t>Volltext</w:t>
      </w:r>
    </w:p>
    <w:p>
      <w:r>
        <w:t>St.Gallen Verwaltungsgericht 17.08.2004 B 2004/47 Saint-Gall Verwaltungsgericht 17.08.2004 B 2004/47 San Gallo Verwaltungsgericht 17.08.2004 B 2004/47</w:t>
      </w:r>
    </w:p>
    <w:p>
      <w:r>
        <w:t>Gebäudeversicherung, Art. 37 Abs. 2 GVG (sGS 873.1). Wer ein beschädigtes Gebäude im Rahmen einer Betreibung auf Pfandverwertung ersteigert, vermag allein deswegen noch keine achtenswerten Gründe im Sinne des Gesetzes nachzuweisen, die eine Gleichstellung mit dem Versicherten zu rechtfertigen vermöchten (Verwaltungsgericht, B 2004/47).</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