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2004/46 vom 17. August 2004</w:t>
      </w:r>
    </w:p>
    <w:p>
      <w:r>
        <w:t>SG Gerichte, 2004-08-17, DE</w:t>
      </w:r>
    </w:p>
    <w:p>
      <w:r>
        <w:rPr>
          <w:b/>
        </w:rPr>
        <w:t xml:space="preserve">Quelle: </w:t>
      </w:r>
      <w:r>
        <w:t>https://mcp.opencaselaw.ch/entscheid/sg_gerichte_B_2004_46</w:t>
      </w:r>
    </w:p>
    <w:p>
      <w:r>
        <w:t>FR: SG_GERICHTE B 2004/46 du 17 août 2004</w:t>
      </w:r>
    </w:p>
    <w:p>
      <w:r>
        <w:t>IT: SG_GERICHTE B 2004/46 del 17 agosto 2004</w:t>
      </w:r>
    </w:p>
    <w:p>
      <w:pPr>
        <w:pStyle w:val="Heading2"/>
      </w:pPr>
      <w:r>
        <w:t>Regeste</w:t>
      </w:r>
    </w:p>
    <w:p>
      <w:r>
        <w:t>Steuerrecht, Art. 57 und 58 StG (sGS 811.1). Eine Liegenschaft mit Wohnhaus und Schweinestall sowie rund 4'000 m2 Wiesland ist aufgrund überwiegender nichtlandwirtschaftlicher Nutzung zum Verkehrswert anzurechnen, wenn der unselbständig erwerbstätige Eigentümer das Haus mit seiner Familie bewohnt und den Stall verpachtet (Verwaltungsgericht, B 2004/46).</w:t>
      </w:r>
    </w:p>
    <w:p>
      <w:pPr>
        <w:pStyle w:val="Heading2"/>
      </w:pPr>
      <w:r>
        <w:t>Volltext</w:t>
      </w:r>
    </w:p>
    <w:p>
      <w:r>
        <w:t>St.Gallen Verwaltungsgericht 17.08.2004 B 2004/46 Saint-Gall Verwaltungsgericht 17.08.2004 B 2004/46 San Gallo Verwaltungsgericht 17.08.2004 B 2004/46</w:t>
      </w:r>
    </w:p>
    <w:p>
      <w:r>
        <w:t>Steuerrecht, Art. 57 und 58 StG (sGS 811.1). Eine Liegenschaft mit Wohnhaus und Schweinestall sowie rund 4'000 m2 Wiesland ist aufgrund überwiegender nichtlandwirtschaftlicher Nutzung zum Verkehrswert anzurechnen, wenn der unselbständig erwerbstätige Eigentümer das Haus mit seiner Familie bewohnt und den Stall verpachtet (Verwaltungsgericht, B 2004/46).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