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2004/44 vom 6. Juli 2004</w:t>
      </w:r>
    </w:p>
    <w:p>
      <w:r>
        <w:t>SG Gerichte, 2004-07-06, DE</w:t>
      </w:r>
    </w:p>
    <w:p>
      <w:r>
        <w:rPr>
          <w:b/>
        </w:rPr>
        <w:t xml:space="preserve">Quelle: </w:t>
      </w:r>
      <w:r>
        <w:t>https://mcp.opencaselaw.ch/entscheid/sg_gerichte_B_2004_44</w:t>
      </w:r>
    </w:p>
    <w:p>
      <w:r>
        <w:t>FR: SG_GERICHTE B 2004/44 du 6 juillet 2004</w:t>
      </w:r>
    </w:p>
    <w:p>
      <w:r>
        <w:t>IT: SG_GERICHTE B 2004/44 del 6 luglio 2004</w:t>
      </w:r>
    </w:p>
    <w:p>
      <w:pPr>
        <w:pStyle w:val="Heading2"/>
      </w:pPr>
      <w:r>
        <w:t>Regeste</w:t>
      </w:r>
    </w:p>
    <w:p>
      <w:r>
        <w:t>Steuerrecht, Art. 31 Abs. 2 StG (sGS 811.1). Eine im Eigentum der Kollektivgesellschafter stehende Wohnung, die der Kollektivgesellschaft als Geschäftsraum dient und dieser vermietet wird, gehört zum Privatvermögen der Gesellschafter (Verwaltungsgericht, B 2004/44).</w:t>
      </w:r>
    </w:p>
    <w:p>
      <w:pPr>
        <w:pStyle w:val="Heading2"/>
      </w:pPr>
      <w:r>
        <w:t>Volltext</w:t>
      </w:r>
    </w:p>
    <w:p>
      <w:r>
        <w:t>St.Gallen Verwaltungsgericht 06.07.2004 B 2004/44 Saint-Gall Verwaltungsgericht 06.07.2004 B 2004/44 San Gallo Verwaltungsgericht 06.07.2004 B 2004/44</w:t>
      </w:r>
    </w:p>
    <w:p>
      <w:r>
        <w:t>Steuerrecht, Art. 31 Abs. 2 StG (sGS 811.1). Eine im Eigentum der Kollektivgesellschafter stehende Wohnung, die der Kollektivgesellschaft als Geschäftsraum dient und dieser vermietet wird, gehört zum Privatvermögen der Gesellschafter (Verwaltungsgericht, B 2004/44).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