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2004/39 vom 17. August 2004</w:t>
      </w:r>
    </w:p>
    <w:p>
      <w:r>
        <w:t>SG Gerichte, 2004-08-17, DE</w:t>
      </w:r>
    </w:p>
    <w:p>
      <w:r>
        <w:rPr>
          <w:b/>
        </w:rPr>
        <w:t xml:space="preserve">Quelle: </w:t>
      </w:r>
      <w:r>
        <w:t>https://mcp.opencaselaw.ch/entscheid/sg_gerichte_B_2004_39</w:t>
      </w:r>
    </w:p>
    <w:p>
      <w:r>
        <w:t>FR: SG_GERICHTE B 2004/39 du 17 août 2004</w:t>
      </w:r>
    </w:p>
    <w:p>
      <w:r>
        <w:t>IT: SG_GERICHTE B 2004/39 del 17 agosto 2004</w:t>
      </w:r>
    </w:p>
    <w:p>
      <w:pPr>
        <w:pStyle w:val="Heading2"/>
      </w:pPr>
      <w:r>
        <w:t>Regeste</w:t>
      </w:r>
    </w:p>
    <w:p>
      <w:r>
        <w:t>Oeffentliches Beschaffungswesen, Art. 34 Abs. 1 und 2 VöB (sGS 841.11). Ist die Gewichtung verschiedener Zuschlagskriterien nicht nachvollziehbar und deswegen eine unterschiedliche Bewertung von Anbietern unbegründet, führt dies zur Aufhebung des Zuschlags (Verwaltungsgericht, B 2004/39).</w:t>
      </w:r>
    </w:p>
    <w:p>
      <w:pPr>
        <w:pStyle w:val="Heading2"/>
      </w:pPr>
      <w:r>
        <w:t>Volltext</w:t>
      </w:r>
    </w:p>
    <w:p>
      <w:r>
        <w:t>St.Gallen Verwaltungsgericht 17.08.2004 B 2004/39 Saint-Gall Verwaltungsgericht 17.08.2004 B 2004/39 San Gallo Verwaltungsgericht 17.08.2004 B 2004/39</w:t>
      </w:r>
    </w:p>
    <w:p>
      <w:r>
        <w:t>Oeffentliches Beschaffungswesen, Art. 34 Abs. 1 und 2 VöB (sGS 841.11). Ist die Gewichtung verschiedener Zuschlagskriterien nicht nachvollziehbar und deswegen eine unterschiedliche Bewertung von Anbietern unbegründet, führt dies zur Aufhebung des Zuschlags (Verwaltungsgericht, B 2004/39).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