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2004/178 vom 25. Januar 2005</w:t>
      </w:r>
    </w:p>
    <w:p>
      <w:r>
        <w:t>SG Gerichte, 2005-01-25, DE</w:t>
      </w:r>
    </w:p>
    <w:p>
      <w:r>
        <w:rPr>
          <w:b/>
        </w:rPr>
        <w:t xml:space="preserve">Quelle: </w:t>
      </w:r>
      <w:r>
        <w:t>https://mcp.opencaselaw.ch/entscheid/sg_gerichte_B_2004_178</w:t>
      </w:r>
    </w:p>
    <w:p>
      <w:r>
        <w:t>FR: SG_GERICHTE B 2004/178 du 25 janvier 2005</w:t>
      </w:r>
    </w:p>
    <w:p>
      <w:r>
        <w:t>IT: SG_GERICHTE B 2004/178 del 25 gennaio 2005</w:t>
      </w:r>
    </w:p>
    <w:p>
      <w:pPr>
        <w:pStyle w:val="Heading2"/>
      </w:pPr>
      <w:r>
        <w:t>Regeste</w:t>
      </w:r>
    </w:p>
    <w:p>
      <w:r>
        <w:t>Gebäudeversicherung. Schadenübernahme für ein Einzelobjekt; Veränderungsverbot; Art. 31 Ziff. 3 und Art. 43 und 44 GVG (sGS 873.1). Ob ein Sturmschaden vorliegt, beurteilt sich in erster Linie nach dem Schadenbild. Auch isoliert auftretende Windböen können einen Versicherungsfall auslösen. Folgen der Missachtung des Veränderungsverbots (Verwaltungsgericht, B 2004/178).</w:t>
      </w:r>
    </w:p>
    <w:p>
      <w:pPr>
        <w:pStyle w:val="Heading2"/>
      </w:pPr>
      <w:r>
        <w:t>Volltext</w:t>
      </w:r>
    </w:p>
    <w:p>
      <w:r>
        <w:t>St.Gallen Verwaltungsgericht 25.01.2005 B 2004/178 Saint-Gall Verwaltungsgericht 25.01.2005 B 2004/178 San Gallo Verwaltungsgericht 25.01.2005 B 2004/178</w:t>
      </w:r>
    </w:p>
    <w:p>
      <w:r>
        <w:t>Gebäudeversicherung. Schadenübernahme für ein Einzelobjekt; Veränderungsverbot; Art. 31 Ziff. 3 und Art. 43 und 44 GVG (sGS 873.1). Ob ein Sturmschaden vorliegt, beurteilt sich in erster Linie nach dem Schadenbild. Auch isoliert auftretende Windböen können einen Versicherungsfall auslösen. Folgen der Missachtung des Veränderungsverbots (Verwaltungsgericht, B 2004/178).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