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2004/167 vom 25. Januar 2005</w:t>
      </w:r>
    </w:p>
    <w:p>
      <w:r>
        <w:t>SG Gerichte, 2005-01-25, DE</w:t>
      </w:r>
    </w:p>
    <w:p>
      <w:r>
        <w:rPr>
          <w:b/>
        </w:rPr>
        <w:t xml:space="preserve">Quelle: </w:t>
      </w:r>
      <w:r>
        <w:t>https://mcp.opencaselaw.ch/entscheid/sg_gerichte_B_2004_167</w:t>
      </w:r>
    </w:p>
    <w:p>
      <w:r>
        <w:t>FR: SG_GERICHTE B 2004/167 du 25 janvier 2005</w:t>
      </w:r>
    </w:p>
    <w:p>
      <w:r>
        <w:t>IT: SG_GERICHTE B 2004/167 del 25 gennaio 2005</w:t>
      </w:r>
    </w:p>
    <w:p>
      <w:pPr>
        <w:pStyle w:val="Heading2"/>
      </w:pPr>
      <w:r>
        <w:t>Regeste</w:t>
      </w:r>
    </w:p>
    <w:p>
      <w:r>
        <w:t>Strafvollzug, Hafturlaub, Art. 10 Abs. 1 BV (SR 101). Ein Rechtsanspruch auf Hafturlaub besteht nicht. Die Gewährung von Urlaub darf nicht vom Einverständnis zu einer Therapie abhängig gemacht werden, wenn eine solche vom Strafrichter nicht angeordnet worden war. Kriterien für die Beurteilung der Urlaubsgewährung (Verwaltungsgericht, B 2004/167).</w:t>
      </w:r>
    </w:p>
    <w:p>
      <w:pPr>
        <w:pStyle w:val="Heading2"/>
      </w:pPr>
      <w:r>
        <w:t>Volltext</w:t>
      </w:r>
    </w:p>
    <w:p>
      <w:r>
        <w:t>St.Gallen Verwaltungsgericht 25.01.2005 B 2004/167 Saint-Gall Verwaltungsgericht 25.01.2005 B 2004/167 San Gallo Verwaltungsgericht 25.01.2005 B 2004/167</w:t>
      </w:r>
    </w:p>
    <w:p>
      <w:r>
        <w:t>Strafvollzug, Hafturlaub, Art. 10 Abs. 1 BV (SR 101). Ein Rechtsanspruch auf Hafturlaub besteht nicht. Die Gewährung von Urlaub darf nicht vom Einverständnis zu einer Therapie abhängig gemacht werden, wenn eine solche vom Strafrichter nicht angeordnet worden war. Kriterien für die Beurteilung der Urlaubsgewährung (Verwaltungsgericht, B 2004/167).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