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BZ.2009.84 vom 8. März 2010</w:t>
      </w:r>
    </w:p>
    <w:p>
      <w:r>
        <w:t>SG Gerichte, 2010-03-08, DE</w:t>
      </w:r>
    </w:p>
    <w:p>
      <w:r>
        <w:rPr>
          <w:b/>
        </w:rPr>
        <w:t xml:space="preserve">Quelle: </w:t>
      </w:r>
      <w:r>
        <w:t>https://mcp.opencaselaw.ch/entscheid/sg_gerichte_BZ.2009.84</w:t>
      </w:r>
    </w:p>
    <w:p>
      <w:r>
        <w:t>FR: SG_GERICHTE BZ.2009.84 du 8 mars 2010</w:t>
      </w:r>
    </w:p>
    <w:p>
      <w:r>
        <w:t>IT: SG_GERICHTE BZ.2009.84 del 8 marzo 2010</w:t>
      </w:r>
    </w:p>
    <w:p>
      <w:pPr>
        <w:pStyle w:val="Heading2"/>
      </w:pPr>
      <w:r>
        <w:t>Regeste</w:t>
      </w:r>
    </w:p>
    <w:p>
      <w:r>
        <w:t>Art. 272 und 272a OR (SR 220). Erstreckung Geschäftsraummiete. Bei der Geschäftsraummiete kann in der Regel nur von einer Härte ausgegangen werden, wenn die Existenz des ganzen Unternehmens in Frage gestellt ist. Ist von der Kündigung nur eine Filiale betroffen, kann es bereits an dieser Erstreckungsvoraussetzung fehlen (Kantonsgericht St. Gallen, III. Zivilkammer, 8. März 2010, BZ.2009.84).</w:t>
      </w:r>
    </w:p>
    <w:p>
      <w:pPr>
        <w:pStyle w:val="Heading2"/>
      </w:pPr>
      <w:r>
        <w:t>Volltext</w:t>
      </w:r>
    </w:p>
    <w:p>
      <w:r>
        <w:t>St.Gallen Kantonsgericht Zivilkammern (inkl. Einzelrichter) 08.03.2010 BZ.2009.84</w:t>
      </w:r>
    </w:p>
    <w:p>
      <w:r>
        <w:t>Art. 272 und 272a OR (SR 220). Erstreckung Geschäftsraummiete. Bei der Geschäftsraummiete kann in der Regel nur von einer Härte ausgegangen werden, wenn die Existenz des ganzen Unternehmens in Frage gestellt ist. Ist von der Kündigung nur eine Filiale betroffen, kann es bereits an dieser Erstreckungsvoraussetzung fehlen (Kantonsgericht St. Gallen, III. Zivilkammer, 8. März 2010, BZ.2009.84).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