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BZ.2009.31 vom 20. Juli 2009</w:t>
      </w:r>
    </w:p>
    <w:p>
      <w:r>
        <w:t>SG Gerichte, 2009-07-20, DE</w:t>
      </w:r>
    </w:p>
    <w:p>
      <w:r>
        <w:rPr>
          <w:b/>
        </w:rPr>
        <w:t xml:space="preserve">Quelle: </w:t>
      </w:r>
      <w:r>
        <w:t>https://mcp.opencaselaw.ch/entscheid/sg_gerichte_BZ.2009.31</w:t>
      </w:r>
    </w:p>
    <w:p>
      <w:r>
        <w:t>FR: SG_GERICHTE BZ.2009.31 du 20 juillet 2009</w:t>
      </w:r>
    </w:p>
    <w:p>
      <w:r>
        <w:t>IT: SG_GERICHTE BZ.2009.31 del 20 luglio 2009</w:t>
      </w:r>
    </w:p>
    <w:p>
      <w:pPr>
        <w:pStyle w:val="Heading2"/>
      </w:pPr>
      <w:r>
        <w:t>Regeste</w:t>
      </w:r>
    </w:p>
    <w:p>
      <w:r>
        <w:t>Art. 5 ff. ZPO (sGS 961.2). Wird der noch nicht rechtskräftige Entscheid eines sachlich unzuständigen Gerichts angefochten, muss er von der Rechtsmittelinstanz grundsätzlich aufgehoben werden (Kantonsgericht St. Gallen, III. Zivilkammer, 20. Juli 2009, BZ.2009.31).</w:t>
      </w:r>
    </w:p>
    <w:p>
      <w:pPr>
        <w:pStyle w:val="Heading2"/>
      </w:pPr>
      <w:r>
        <w:t>Volltext</w:t>
      </w:r>
    </w:p>
    <w:p>
      <w:r>
        <w:t>St.Gallen Kantonsgericht Zivilkammern (inkl. Einzelrichter) 20.07.2009 BZ.2009.31</w:t>
      </w:r>
    </w:p>
    <w:p>
      <w:r>
        <w:t>Art. 5 ff. ZPO (sGS 961.2). Wird der noch nicht rechtskräftige Entscheid eines sachlich unzuständigen Gerichts angefochten, muss er von der Rechtsmittelinstanz grundsätzlich aufgehoben werden (Kantonsgericht St. Gallen, III. Zivilkammer, 20. Juli 2009, BZ.2009.31).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