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BZ.2009.105 vom 28. April 2010</w:t>
      </w:r>
    </w:p>
    <w:p>
      <w:r>
        <w:t>SG Gerichte, 2010-04-28, DE</w:t>
      </w:r>
    </w:p>
    <w:p>
      <w:r>
        <w:rPr>
          <w:b/>
        </w:rPr>
        <w:t xml:space="preserve">Quelle: </w:t>
      </w:r>
      <w:r>
        <w:t>https://mcp.opencaselaw.ch/entscheid/sg_gerichte_BZ.2009.105</w:t>
      </w:r>
    </w:p>
    <w:p>
      <w:r>
        <w:t>FR: SG_GERICHTE BZ.2009.105 du 28 avril 2010</w:t>
      </w:r>
    </w:p>
    <w:p>
      <w:r>
        <w:t>IT: SG_GERICHTE BZ.2009.105 del 28 aprile 2010</w:t>
      </w:r>
    </w:p>
    <w:p>
      <w:pPr>
        <w:pStyle w:val="Heading2"/>
      </w:pPr>
      <w:r>
        <w:t>Regeste</w:t>
      </w:r>
    </w:p>
    <w:p>
      <w:r>
        <w:t>Art. 272 Abs. 1, Abs. 2 lit. d und Abs. 3 OR (SR 220). Zweiterstreckung einer Geschäftsraummiete. Dringlicher Eigenbedarf. Ob der Mieter zur Abwendung einer Härte alles unternommen hat, was ihm zuzumuten war (Art. 272 Abs. 3 OR), ist neben der Interessenabwägung nach Art. 272 Abs. 1 und 2 OR separat zu prüfen (E. 1c). Kauft der Mieter kurz nach der Kündigung eine Ersatzliegenschaft, die er erst nach grösserer Bautätigkeit nutzen kann, und kommt es dabei zu bautypischen Verzögerungen, ist keine Zweiterstreckung zu gewähren (E. 2c). Der Umstand, dass ein Vermieter, der die Liegenschaft abreissen will, die anderen Mieteinheiten während eines Rechtsstreits um eine Mieterstreckung oder Ausweisung wieder vermietet hat, mindert dessen dringlichen Eigenbedarf nicht (Kantonsgericht, III. Zivilkammer, BZ.2009.105, 28. April 2010 [rechtskräftig]).</w:t>
      </w:r>
    </w:p>
    <w:p>
      <w:pPr>
        <w:pStyle w:val="Heading2"/>
      </w:pPr>
      <w:r>
        <w:t>Volltext</w:t>
      </w:r>
    </w:p>
    <w:p>
      <w:r>
        <w:t>St.Gallen Kantonsgericht Zivilkammern (inkl. Einzelrichter) 28.04.2010 BZ.2009.105</w:t>
      </w:r>
    </w:p>
    <w:p>
      <w:r>
        <w:t>Art. 272 Abs. 1, Abs. 2 lit. d und Abs. 3 OR (SR 220). Zweiterstreckung einer Geschäftsraummiete. Dringlicher Eigenbedarf. Ob der Mieter zur Abwendung einer Härte alles unternommen hat, was ihm zuzumuten war (Art. 272 Abs. 3 OR), ist neben der Interessenabwägung nach Art. 272 Abs. 1 und 2 OR separat zu prüfen (E. 1c). Kauft der Mieter kurz nach der Kündigung eine Ersatzliegenschaft, die er erst nach grösserer Bautätigkeit nutzen kann, und kommt es dabei zu bautypischen Verzögerungen, ist keine Zweiterstreckung zu gewähren (E. 2c). Der Umstand, dass ein Vermieter, der die Liegenschaft abreissen will, die anderen Mieteinheiten während eines Rechtsstreits um eine Mieterstreckung oder Ausweisung wieder vermietet hat, mindert dessen dringlichen Eigenbedarf nicht (Kantonsgericht, III. Zivilkammer, BZ.2009.105, 28. April 2010 [rechtskräftig]).</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