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BZ.2009.101 vom 22. März 2010</w:t>
      </w:r>
    </w:p>
    <w:p>
      <w:r>
        <w:t>SG Gerichte, 2010-03-22, DE</w:t>
      </w:r>
    </w:p>
    <w:p>
      <w:r>
        <w:rPr>
          <w:b/>
        </w:rPr>
        <w:t xml:space="preserve">Quelle: </w:t>
      </w:r>
      <w:r>
        <w:t>https://mcp.opencaselaw.ch/entscheid/sg_gerichte_BZ.2009.101</w:t>
      </w:r>
    </w:p>
    <w:p>
      <w:r>
        <w:t>FR: SG_GERICHTE BZ.2009.101 du 22 mars 2010</w:t>
      </w:r>
    </w:p>
    <w:p>
      <w:r>
        <w:t>IT: SG_GERICHTE BZ.2009.101 del 22 marzo 2010</w:t>
      </w:r>
    </w:p>
    <w:p>
      <w:pPr>
        <w:pStyle w:val="Heading2"/>
      </w:pPr>
      <w:r>
        <w:t>Regeste</w:t>
      </w:r>
    </w:p>
    <w:p>
      <w:r>
        <w:t>Art. 1 Abs. 1 lit. b, Art. 30 Abs. 1 LPG (SR 221.213.2), Art. 5, Art. 7 Abs. 1, 2, 4 lit. c BGBB (SR 211.412.11). Gewerbepacht oder Grundstückpacht. Für die Beurteilung, ob eine Gewerbepacht vorliegt, ist der Zeitpunkt des Pachtantritts massgebend. Später eingetretene Umstände sind nicht zu berücksichtigen (E. 2c). Bei der Beurteilung, ob eine Gewerbepacht vorliegt, sind die für längere Dauer zugepachteten Grundstücke selbst dann nicht zu berücksichtigen, wenn ein Betrieb gepachtet wird, der nur inklusive Zupachtland ein Gewerbe darstellt, und der Pächter auch das Zupachtland übernimmt. Die Parteien können das Pachtverhältnis aber konkludent den Regeln über die Gewerbepacht unterstellen (E. 4b und c). Ein Vertrag über die Pacht einer einzelnen Parzelle eines landwirtschaftlichen Gewerbes ist zivilrechtlich auch gültig, wenn der Verpächter über keine Bewilligung für die parzellenweise Verpachtung verfügt (E. 5) (Kantonsgericht St. Gallen, III. Zivilkammer, 22. März 2010, BZ.2009.101).</w:t>
      </w:r>
    </w:p>
    <w:p>
      <w:pPr>
        <w:pStyle w:val="Heading2"/>
      </w:pPr>
      <w:r>
        <w:t>Volltext</w:t>
      </w:r>
    </w:p>
    <w:p>
      <w:r>
        <w:t>St.Gallen Kantonsgericht Zivilkammern (inkl. Einzelrichter) 22.03.2010 BZ.2009.101</w:t>
      </w:r>
    </w:p>
    <w:p>
      <w:r>
        <w:t>Art. 1 Abs. 1 lit. b, Art. 30 Abs. 1 LPG (SR 221.213.2), Art. 5, Art. 7 Abs. 1, 2, 4 lit. c BGBB (SR 211.412.11). Gewerbepacht oder Grundstückpacht. Für die Beurteilung, ob eine Gewerbepacht vorliegt, ist der Zeitpunkt des Pachtantritts massgebend. Später eingetretene Umstände sind nicht zu berücksichtigen (E. 2c). Bei der Beurteilung, ob eine Gewerbepacht vorliegt, sind die für längere Dauer zugepachteten Grundstücke selbst dann nicht zu berücksichtigen, wenn ein Betrieb gepachtet wird, der nur inklusive Zupachtland ein Gewerbe darstellt, und der Pächter auch das Zupachtland übernimmt. Die Parteien können das Pachtverhältnis aber konkludent den Regeln über die Gewerbepacht unterstellen (E. 4b und c). Ein Vertrag über die Pacht einer einzelnen Parzelle eines landwirtschaftlichen Gewerbes ist zivilrechtlich auch gültig, wenn der Verpächter über keine Bewilligung für die parzellenweise Verpachtung verfügt (E. 5) (Kantonsgericht St. Gallen, III. Zivilkammer, 22. März 2010, BZ.2009.101).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