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BZ.2008.38 vom 11. März 2009</w:t>
      </w:r>
    </w:p>
    <w:p>
      <w:r>
        <w:t>SG Gerichte, 2009-03-11, DE</w:t>
      </w:r>
    </w:p>
    <w:p>
      <w:r>
        <w:rPr>
          <w:b/>
        </w:rPr>
        <w:t xml:space="preserve">Quelle: </w:t>
      </w:r>
      <w:r>
        <w:t>https://mcp.opencaselaw.ch/entscheid/sg_gerichte_BZ.2008.38</w:t>
      </w:r>
    </w:p>
    <w:p>
      <w:r>
        <w:t>FR: SG_GERICHTE BZ.2008.38 du 11 mars 2009</w:t>
      </w:r>
    </w:p>
    <w:p>
      <w:r>
        <w:t>IT: SG_GERICHTE BZ.2008.38 del 11 marzo 2009</w:t>
      </w:r>
    </w:p>
    <w:p>
      <w:pPr>
        <w:pStyle w:val="Heading2"/>
      </w:pPr>
      <w:r>
        <w:t>Regeste</w:t>
      </w:r>
    </w:p>
    <w:p>
      <w:r>
        <w:t>Art. 165 OR (SR 220); Art. 101 ZPO (sGS 961.2). Die Fehlende Schriftform der Abtretung kann durch schriftliche Anerkennung des Zedenten nachgeholt werden. Beweiswürdigung von Protokollen von Verwaltungsratssitzungen sowie Partei- und Zeugenaussagen (Kantonsgericht St. Gallen, III. Zivilkammer, 11. März 2009, BZ.2008.38).</w:t>
      </w:r>
    </w:p>
    <w:p>
      <w:pPr>
        <w:pStyle w:val="Heading2"/>
      </w:pPr>
      <w:r>
        <w:t>Volltext</w:t>
      </w:r>
    </w:p>
    <w:p>
      <w:r>
        <w:t>St.Gallen Kantonsgericht Zivilkammern (inkl. Einzelrichter) 11.03.2009 BZ.2008.38</w:t>
      </w:r>
    </w:p>
    <w:p>
      <w:r>
        <w:t>Art. 165 OR (SR 220); Art. 101 ZPO (sGS 961.2). Die Fehlende Schriftform der Abtretung kann durch schriftliche Anerkennung des Zedenten nachgeholt werden. Beweiswürdigung von Protokollen von Verwaltungsratssitzungen sowie Partei- und Zeugenaussagen (Kantonsgericht St. Gallen, III. Zivilkammer, 11. März 2009, BZ.2008.38).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