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BZ.2007.72 vom 7. Februar 2008</w:t>
      </w:r>
    </w:p>
    <w:p>
      <w:r>
        <w:t>SG Gerichte, 2008-02-07, DE</w:t>
      </w:r>
    </w:p>
    <w:p>
      <w:r>
        <w:rPr>
          <w:b/>
        </w:rPr>
        <w:t xml:space="preserve">Quelle: </w:t>
      </w:r>
      <w:r>
        <w:t>https://mcp.opencaselaw.ch/entscheid/sg_gerichte_BZ.2007.72</w:t>
      </w:r>
    </w:p>
    <w:p>
      <w:r>
        <w:t>FR: SG_GERICHTE BZ.2007.72 du 7 février 2008</w:t>
      </w:r>
    </w:p>
    <w:p>
      <w:r>
        <w:t>IT: SG_GERICHTE BZ.2007.72 del 7 febbraio 2008</w:t>
      </w:r>
    </w:p>
    <w:p>
      <w:pPr>
        <w:pStyle w:val="Heading2"/>
      </w:pPr>
      <w:r>
        <w:t>Regeste</w:t>
      </w:r>
    </w:p>
    <w:p>
      <w:r>
        <w:t>Art. 363 ff.; 367 Abs. 1, 370 Abs. 3 OR. Werkvertrag. Rechtzeitigkeit der Mängelrüge. Rückweisung des Verfahrens an die Vorinstanz zur Neubeurteilung nach Einholung einer Expertise zu den umstrittenen Mängeln und den Nachbesserungskosten (Kantonsgericht St. Gallen, Präsident der III. Zivilkammer, 7. Februar 2008, BZ.2007.72).</w:t>
      </w:r>
    </w:p>
    <w:p>
      <w:pPr>
        <w:pStyle w:val="Heading2"/>
      </w:pPr>
      <w:r>
        <w:t>Volltext</w:t>
      </w:r>
    </w:p>
    <w:p>
      <w:r>
        <w:t>St.Gallen Kantonsgericht Zivilkammern (inkl. Einzelrichter) 07.02.2008 BZ.2007.72</w:t>
      </w:r>
    </w:p>
    <w:p>
      <w:r>
        <w:t>Art. 363 ff.; 367 Abs. 1, 370 Abs. 3 OR. Werkvertrag. Rechtzeitigkeit der Mängelrüge. Rückweisung des Verfahrens an die Vorinstanz zur Neubeurteilung nach Einholung einer Expertise zu den umstrittenen Mängeln und den Nachbesserungskosten (Kantonsgericht St. Gallen, Präsident der III. Zivilkammer, 7. Februar 2008, BZ.2007.72).</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