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BZ.2007.43 vom 11. Juli 2007</w:t>
      </w:r>
    </w:p>
    <w:p>
      <w:r>
        <w:t>SG Gerichte, 2007-07-11, DE</w:t>
      </w:r>
    </w:p>
    <w:p>
      <w:r>
        <w:rPr>
          <w:b/>
        </w:rPr>
        <w:t xml:space="preserve">Quelle: </w:t>
      </w:r>
      <w:r>
        <w:t>https://mcp.opencaselaw.ch/entscheid/sg_gerichte_BZ.2007.43</w:t>
      </w:r>
    </w:p>
    <w:p>
      <w:r>
        <w:t>FR: SG_GERICHTE BZ.2007.43 du 11 juillet 2007</w:t>
      </w:r>
    </w:p>
    <w:p>
      <w:r>
        <w:t>IT: SG_GERICHTE BZ.2007.43 del 11 luglio 2007</w:t>
      </w:r>
    </w:p>
    <w:p>
      <w:pPr>
        <w:pStyle w:val="Heading2"/>
      </w:pPr>
      <w:r>
        <w:t>Regeste</w:t>
      </w:r>
    </w:p>
    <w:p>
      <w:r>
        <w:t>Art. 5 und 6 Haager Übereinkommen über die Zustellung gerichtlicher und aussergerichtlicher Schriftstücke im Ausland in Zivil- und Handelssachen vom 15. November 1965 (SR 0.274.131), Art. 228 ZPO (sGS 961.2), Art. 197 OR (SR 220). Die Gültigkeit der Zustellung des erstinstanzlichen Urteils an die in Deutschland wohnhafte Beklagte beurteilt sich nach deutschem Recht. Das Haager Zustellungsübereinkommen regelt nur den zwischenstaatlichen Übermittlungsweg. Der Einwurf in den Briefkasten der Geschäftsräume ist eine gültige Zustellung nach deutschem Recht. Selbst wenn die Zustellung mangelhaft gewesen wäre, wäre der Mangel geheilt, weil die Beklagte tatsächlich Kenntnis erhielt vom Urteil und rechtzeitig Berufung einreichen konnte. Die Beklagte, die sich am erstinstanzlichen Verfahren überhaupt nicht beteiligte, kann im Berufungsverfahren nur noch Bestreitungen und rechtliche Erörterungen vorbringen. Ein aus Deutschland an eine schweizerische Verbraucherin gelieferter Whirlpool, der hier nicht an das elektrische Netz angeschlossen werden darf, unter anderem weil die für die Bewilligung des Starkstrominspektorats erforderlichen Zertifikate fehlen, ist zum vorausgesetzten Gebrauch untauglich. Die Käuferin ist zu Wandelung berechtigt (Kantonsgericht St. Gallen, Präsidentin der III. Zivilkammer, 11. Juli 2007, BZ.2007.43).</w:t>
      </w:r>
    </w:p>
    <w:p>
      <w:pPr>
        <w:pStyle w:val="Heading2"/>
      </w:pPr>
      <w:r>
        <w:t>Volltext</w:t>
      </w:r>
    </w:p>
    <w:p>
      <w:r>
        <w:t>St.Gallen Kantonsgericht Zivilkammern (inkl. Einzelrichter) 11.07.2007 BZ.2007.43</w:t>
      </w:r>
    </w:p>
    <w:p>
      <w:r>
        <w:t>Art. 5 und 6 Haager Übereinkommen über die Zustellung gerichtlicher und aussergerichtlicher Schriftstücke im Ausland in Zivil- und Handelssachen vom 15. November 1965 (SR 0.274.131), Art. 228 ZPO (sGS 961.2), Art. 197 OR (SR 220). Die Gültigkeit der Zustellung des erstinstanzlichen Urteils an die in Deutschland wohnhafte Beklagte beurteilt sich nach deutschem Recht. Das Haager Zustellungsübereinkommen regelt nur den zwischenstaatlichen Übermittlungsweg. Der Einwurf in den Briefkasten der Geschäftsräume ist eine gültige Zustellung nach deutschem Recht. Selbst wenn die Zustellung mangelhaft gewesen wäre, wäre der Mangel geheilt, weil die Beklagte tatsächlich Kenntnis erhielt vom Urteil und rechtzeitig Berufung einreichen konnte. Die Beklagte, die sich am erstinstanzlichen Verfahren überhaupt nicht beteiligte, kann im Berufungsverfahren nur noch Bestreitungen und rechtliche Erörterungen vorbringen. Ein aus Deutschland an eine schweizerische Verbraucherin gelieferter Whirlpool, der hier nicht an das elektrische Netz angeschlossen werden darf, unter anderem weil die für die Bewilligung des Starkstrominspektorats erforderlichen Zertifikate fehlen, ist zum vorausgesetzten Gebrauch untauglich. Die Käuferin ist zu Wandelung berechtigt (Kantonsgericht St. Gallen, Präsidentin der III. Zivilkammer, 11. Juli 2007, BZ.2007.43).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