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BZ.2007.20 vom 6. September 2007</w:t>
      </w:r>
    </w:p>
    <w:p>
      <w:r>
        <w:t>SG Gerichte, 2007-09-06, DE</w:t>
      </w:r>
    </w:p>
    <w:p>
      <w:r>
        <w:rPr>
          <w:b/>
        </w:rPr>
        <w:t xml:space="preserve">Quelle: </w:t>
      </w:r>
      <w:r>
        <w:t>https://mcp.opencaselaw.ch/entscheid/sg_gerichte_BZ.2007.20</w:t>
      </w:r>
    </w:p>
    <w:p>
      <w:r>
        <w:t>FR: SG_GERICHTE BZ.2007.20 du 6 septembre 2007</w:t>
      </w:r>
    </w:p>
    <w:p>
      <w:r>
        <w:t>IT: SG_GERICHTE BZ.2007.20 del 6 settembre 2007</w:t>
      </w:r>
    </w:p>
    <w:p>
      <w:pPr>
        <w:pStyle w:val="Heading2"/>
      </w:pPr>
      <w:r>
        <w:t>Regeste</w:t>
      </w:r>
    </w:p>
    <w:p>
      <w:r>
        <w:t>Art. 97 Abs. 1, 398 Abs. 2 und 3 und 399 Abs. 2 OR (SR 220). Haftung eines Anwalts für den Schaden, der einem Mandaten durch die nicht fristgerechte Einleitung der Klage auf definitive Eintragung eines Bauhandwerkerpfandrechts entstanden ist: Ersatzfähiger Schaden (positives Vertragsinteresse), Unterbrechung des Kausalzusammenhangs durch grobes Drittverschulden, Abgrenzung zwischen Hilfsperson und Substitut. Kürzung des Honoraranspruchs wegen Schlechterfüllung. Teilweise Gutheissung der Berufung (Kantonsgericht St. Gallen, Präsident der III. Zivilkammer, 6. September 2007, BZ.2007.20).Das Bundesgericht hat dieses Urteil bestätigt (Urteil 4A_407/2007 neues Fenster vom 14. März 2008).</w:t>
      </w:r>
    </w:p>
    <w:p>
      <w:pPr>
        <w:pStyle w:val="Heading2"/>
      </w:pPr>
      <w:r>
        <w:t>Volltext</w:t>
      </w:r>
    </w:p>
    <w:p>
      <w:r>
        <w:t>St.Gallen Kantonsgericht Zivilkammern (inkl. Einzelrichter) 06.09.2007 BZ.2007.20</w:t>
      </w:r>
    </w:p>
    <w:p>
      <w:r>
        <w:t>Art. 97 Abs. 1, 398 Abs. 2 und 3 und 399 Abs. 2 OR (SR 220). Haftung eines Anwalts für den Schaden, der einem Mandaten durch die nicht fristgerechte Einleitung der Klage auf definitive Eintragung eines Bauhandwerkerpfandrechts entstanden ist: Ersatzfähiger Schaden (positives Vertragsinteresse), Unterbrechung des Kausalzusammenhangs durch grobes Drittverschulden, Abgrenzung zwischen Hilfsperson und Substitut. Kürzung des Honoraranspruchs wegen Schlechterfüllung. Teilweise Gutheissung der Berufung (Kantonsgericht St. Gallen, Präsident der III. Zivilkammer, 6. September 2007, BZ.2007.20).Das Bundesgericht hat dieses Urteil bestätigt (Urteil 4A_407/2007 neues Fenster vom 14. März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