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BZ.2006.96 vom 29. Juni 2007</w:t>
      </w:r>
    </w:p>
    <w:p>
      <w:r>
        <w:t>SG Gerichte, 2007-06-29, DE</w:t>
      </w:r>
    </w:p>
    <w:p>
      <w:r>
        <w:rPr>
          <w:b/>
        </w:rPr>
        <w:t xml:space="preserve">Quelle: </w:t>
      </w:r>
      <w:r>
        <w:t>https://mcp.opencaselaw.ch/entscheid/sg_gerichte_BZ.2006.96</w:t>
      </w:r>
    </w:p>
    <w:p>
      <w:r>
        <w:t>FR: SG_GERICHTE BZ.2006.96 du 29 juin 2007</w:t>
      </w:r>
    </w:p>
    <w:p>
      <w:r>
        <w:t>IT: SG_GERICHTE BZ.2006.96 del 29 giugno 2007</w:t>
      </w:r>
    </w:p>
    <w:p>
      <w:pPr>
        <w:pStyle w:val="Heading2"/>
      </w:pPr>
      <w:r>
        <w:t>Regeste</w:t>
      </w:r>
    </w:p>
    <w:p>
      <w:r>
        <w:t>Art. 32 Abs. 2 und 815 Abs. 1 OR (SR 220). Fehlende Passivlegitimation. Konkrete Umstände, bei deren Vorliegen der Kläger erkennen musste, dass der Beklagte nicht für sich persönlich, sondern als Stellvertreter der juristischen Person gehandelt hat. Abweisung der Berufung (Kantonsgericht St. Gallen, III. Zivilkammer, 29. Juni 2007, BZ.2006.96).</w:t>
      </w:r>
    </w:p>
    <w:p>
      <w:pPr>
        <w:pStyle w:val="Heading2"/>
      </w:pPr>
      <w:r>
        <w:t>Volltext</w:t>
      </w:r>
    </w:p>
    <w:p>
      <w:r>
        <w:t>St.Gallen Kantonsgericht Zivilkammern (inkl. Einzelrichter) 29.06.2007 BZ.2006.96</w:t>
      </w:r>
    </w:p>
    <w:p>
      <w:r>
        <w:t>Art. 32 Abs. 2 und 815 Abs. 1 OR (SR 220). Fehlende Passivlegitimation. Konkrete Umstände, bei deren Vorliegen der Kläger erkennen musste, dass der Beklagte nicht für sich persönlich, sondern als Stellvertreter der juristischen Person gehandelt hat. Abweisung der Berufung (Kantonsgericht St. Gallen, III. Zivilkammer, 29. Juni 2007, BZ.2006.96).</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