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BZ.2006.93 vom 6. Mai 2008</w:t>
      </w:r>
    </w:p>
    <w:p>
      <w:r>
        <w:t>SG Gerichte, 2008-05-06, DE</w:t>
      </w:r>
    </w:p>
    <w:p>
      <w:r>
        <w:rPr>
          <w:b/>
        </w:rPr>
        <w:t xml:space="preserve">Quelle: </w:t>
      </w:r>
      <w:r>
        <w:t>https://mcp.opencaselaw.ch/entscheid/sg_gerichte_BZ.2006.93</w:t>
      </w:r>
    </w:p>
    <w:p>
      <w:r>
        <w:t>FR: SG_GERICHTE BZ.2006.93 du 6 mai 2008</w:t>
      </w:r>
    </w:p>
    <w:p>
      <w:r>
        <w:t>IT: SG_GERICHTE BZ.2006.93 del 6 maggio 2008</w:t>
      </w:r>
    </w:p>
    <w:p>
      <w:pPr>
        <w:pStyle w:val="Heading2"/>
      </w:pPr>
      <w:r>
        <w:t>Regeste</w:t>
      </w:r>
    </w:p>
    <w:p>
      <w:r>
        <w:t>Art. 368 und Art. 370 Abs. 3 OR (SR 220). Tritt ein Unternehmer auf die Mängelrüge - auch wenn sie verspätet ist - ein, indem er mit der Mängelbeseitigung beginnt oder die Mängelbeseitigung verspricht, so hat er damit auf den Einwand, die Prüfung und Rüge seien verspätet erfolgt, konkludent verzichtet. Ferner ist der Unternehmer, der eine bestimmte Sanierungsvariante vorschlägt, für die Tauglichkeit der von ihm vorgeschlagenen Ausführung verantwortlich. Zur Tauglichkeit gehört auch, dass der vom Unternehmer gelieferte Werkstoff auf den vom Besteller zur Verfügung gestellten Untergrund überhaupt anwendbar ist. Und schliesslich steht dem Besteller auch bei einem Werk, das auf Grund und Boden des Bestellers errichtet wurde, ein Wandelungsanspruch zu, wenn das abgelieferte Werk definitiv unbrauchbar ist bzw. zum vorgesehenen Gebrauch überhaupt nicht taugt (Kantonsgericht St. Gallen, III. Zivilkammer, 6. Mai 2008, BZ.2006.93).Das Bundesgericht ist auf eine gegen diesen Entscheid gerichtete Beschwerde in Zivilsachen nicht eingetreten und hat eine subsidiäre Verfassungsbeschwerde abgewiesen, soweit es darauf eintrat (Urteil 4A_386/2008 neues Fenster vom 2. März 2009).</w:t>
      </w:r>
    </w:p>
    <w:p>
      <w:pPr>
        <w:pStyle w:val="Heading2"/>
      </w:pPr>
      <w:r>
        <w:t>Volltext</w:t>
      </w:r>
    </w:p>
    <w:p>
      <w:r>
        <w:t>St.Gallen Kantonsgericht Zivilkammern (inkl. Einzelrichter) 06.05.2008 BZ.2006.93</w:t>
      </w:r>
    </w:p>
    <w:p>
      <w:r>
        <w:t>Art. 368 und Art. 370 Abs. 3 OR (SR 220). Tritt ein Unternehmer auf die Mängelrüge - auch wenn sie verspätet ist - ein, indem er mit der Mängelbeseitigung beginnt oder die Mängelbeseitigung verspricht, so hat er damit auf den Einwand, die Prüfung und Rüge seien verspätet erfolgt, konkludent verzichtet. Ferner ist der Unternehmer, der eine bestimmte Sanierungsvariante vorschlägt, für die Tauglichkeit der von ihm vorgeschlagenen Ausführung verantwortlich. Zur Tauglichkeit gehört auch, dass der vom Unternehmer gelieferte Werkstoff auf den vom Besteller zur Verfügung gestellten Untergrund überhaupt anwendbar ist. Und schliesslich steht dem Besteller auch bei einem Werk, das auf Grund und Boden des Bestellers errichtet wurde, ein Wandelungsanspruch zu, wenn das abgelieferte Werk definitiv unbrauchbar ist bzw. zum vorgesehenen Gebrauch überhaupt nicht taugt (Kantonsgericht St. Gallen, III. Zivilkammer, 6. Mai 2008, BZ.2006.93).Das Bundesgericht ist auf eine gegen diesen Entscheid gerichtete Beschwerde in Zivilsachen nicht eingetreten und hat eine subsidiäre Verfassungsbeschwerde abgewiesen, soweit es darauf eintrat (Urteil 4A_386/2008 neues Fenster vom 2. März 2009).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