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BZ.2006.41 vom 4. November 2006</w:t>
      </w:r>
    </w:p>
    <w:p>
      <w:r>
        <w:t>SG Gerichte, 2006-11-04, DE</w:t>
      </w:r>
    </w:p>
    <w:p>
      <w:r>
        <w:rPr>
          <w:b/>
        </w:rPr>
        <w:t xml:space="preserve">Quelle: </w:t>
      </w:r>
      <w:r>
        <w:t>https://mcp.opencaselaw.ch/entscheid/sg_gerichte_BZ.2006.41</w:t>
      </w:r>
    </w:p>
    <w:p>
      <w:r>
        <w:t>FR: SG_GERICHTE BZ.2006.41 du 4 novembre 2006</w:t>
      </w:r>
    </w:p>
    <w:p>
      <w:r>
        <w:t>IT: SG_GERICHTE BZ.2006.41 del 4 novembre 2006</w:t>
      </w:r>
    </w:p>
    <w:p>
      <w:pPr>
        <w:pStyle w:val="Heading2"/>
      </w:pPr>
      <w:r>
        <w:t>Regeste</w:t>
      </w:r>
    </w:p>
    <w:p>
      <w:r>
        <w:t>Art. 365 OR (SR 220). Qualifikation des von den Parteien abgeschlossenen Vertrages. Die Frage, ob ein Bearbeitungs- oder ein Verarbeitungsvertrag vorliegt, konnte aber letztlich offen bleiben, da der Stoffbegriff von Art. 365 Abs. 2 OR auch auf Werkgegenstände anwendbar ist. Der Unternehmer ist namentlich verpflichtet, einen allfälligen Rest des ihm von Besteller gelieferten Stoffes zurückzugeben (Kantonsgericht, Präsident der III. Zivilkammer, 4. November 2006, BZ.2006.41).</w:t>
      </w:r>
    </w:p>
    <w:p>
      <w:pPr>
        <w:pStyle w:val="Heading2"/>
      </w:pPr>
      <w:r>
        <w:t>Volltext</w:t>
      </w:r>
    </w:p>
    <w:p>
      <w:r>
        <w:t>St.Gallen Kantonsgericht Zivilkammern (inkl. Einzelrichter) 04.11.2006 BZ.2006.41</w:t>
      </w:r>
    </w:p>
    <w:p>
      <w:r>
        <w:t>Art. 365 OR (SR 220). Qualifikation des von den Parteien abgeschlossenen Vertrages. Die Frage, ob ein Bearbeitungs- oder ein Verarbeitungsvertrag vorliegt, konnte aber letztlich offen bleiben, da der Stoffbegriff von Art. 365 Abs. 2 OR auch auf Werkgegenstände anwendbar ist. Der Unternehmer ist namentlich verpflichtet, einen allfälligen Rest des ihm von Besteller gelieferten Stoffes zurückzugeben (Kantonsgericht, Präsident der III. Zivilkammer, 4. November 2006, BZ.2006.41).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