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BZ.2006.39 vom 11. August 2006</w:t>
      </w:r>
    </w:p>
    <w:p>
      <w:r>
        <w:t>SG Gerichte, 2006-08-11, DE</w:t>
      </w:r>
    </w:p>
    <w:p>
      <w:r>
        <w:rPr>
          <w:b/>
        </w:rPr>
        <w:t xml:space="preserve">Quelle: </w:t>
      </w:r>
      <w:r>
        <w:t>https://mcp.opencaselaw.ch/entscheid/sg_gerichte_BZ.2006.39</w:t>
      </w:r>
    </w:p>
    <w:p>
      <w:r>
        <w:t>FR: SG_GERICHTE BZ.2006.39 du 11 août 2006</w:t>
      </w:r>
    </w:p>
    <w:p>
      <w:r>
        <w:t>IT: SG_GERICHTE BZ.2006.39 del 11 agosto 2006</w:t>
      </w:r>
    </w:p>
    <w:p>
      <w:pPr>
        <w:pStyle w:val="Heading2"/>
      </w:pPr>
      <w:r>
        <w:t>Regeste</w:t>
      </w:r>
    </w:p>
    <w:p>
      <w:r>
        <w:t>Art. 265a SchKG (SR 281.1) und Art. 8 ZGB (SR 210). Im Feststellungsprozess obliegt hinsichtlich der Thematik des neues Vermögens dem Gläubiger die Beweislast, und zwar unabhängig davon, in welcher Parteirolle er sich befindet. Er hat den (positiven) Beweis zu erbringen, dass der Schuldner zu neuem Vermögen gekommen ist, und nicht der Schuldner den Negativbeweis, dass er kein neues Vermögen hat (Kantonsgericht, Präsident der III. Zivilkammer, 11. August 2006, BZ.2006.39).</w:t>
      </w:r>
    </w:p>
    <w:p>
      <w:pPr>
        <w:pStyle w:val="Heading2"/>
      </w:pPr>
      <w:r>
        <w:t>Volltext</w:t>
      </w:r>
    </w:p>
    <w:p>
      <w:r>
        <w:t>St.Gallen Kantonsgericht Zivilkammern (inkl. Einzelrichter) 11.08.2006 BZ.2006.39</w:t>
      </w:r>
    </w:p>
    <w:p>
      <w:r>
        <w:t>Art. 265a SchKG (SR 281.1) und Art. 8 ZGB (SR 210). Im Feststellungsprozess obliegt hinsichtlich der Thematik des neues Vermögens dem Gläubiger die Beweislast, und zwar unabhängig davon, in welcher Parteirolle er sich befindet. Er hat den (positiven) Beweis zu erbringen, dass der Schuldner zu neuem Vermögen gekommen ist, und nicht der Schuldner den Negativbeweis, dass er kein neues Vermögen hat (Kantonsgericht, Präsident der III. Zivilkammer, 11. August 2006, BZ.2006.39).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