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BZ.2006.30 vom 25. Mai 2007</w:t>
      </w:r>
    </w:p>
    <w:p>
      <w:r>
        <w:t>SG Gerichte, 2007-05-25, DE</w:t>
      </w:r>
    </w:p>
    <w:p>
      <w:r>
        <w:rPr>
          <w:b/>
        </w:rPr>
        <w:t xml:space="preserve">Quelle: </w:t>
      </w:r>
      <w:r>
        <w:t>https://mcp.opencaselaw.ch/entscheid/sg_gerichte_BZ.2006.30</w:t>
      </w:r>
    </w:p>
    <w:p>
      <w:r>
        <w:t>FR: SG_GERICHTE BZ.2006.30 du 25 mai 2007</w:t>
      </w:r>
    </w:p>
    <w:p>
      <w:r>
        <w:t>IT: SG_GERICHTE BZ.2006.30 del 25 maggio 2007</w:t>
      </w:r>
    </w:p>
    <w:p>
      <w:pPr>
        <w:pStyle w:val="Heading2"/>
      </w:pPr>
      <w:r>
        <w:t>Regeste</w:t>
      </w:r>
    </w:p>
    <w:p>
      <w:r>
        <w:t>Art. 8 ZGB (SR 210); Art. 168 OR (SR 220). Der Zessionar trägt die Beweislast für alle Tatsachen, aus denen er sein Recht ableitet. Der Datierung einer Zessionsurkunde kann Beweisfunktion zukommen; sie stellt jedoch kein Gültigkeitserfordernis dar. Durchführung von Partei- und Zeugenbefragungen bezüglich der Frage, ob zwischen dem Zedenten und der Beklagten ein Vertragsverhältnis bestand. Gutheissung der Berufung (Kantonsgericht St. Gallen, III. Zivilkammer, 25. Mai 2007, BZ.2006.30).</w:t>
      </w:r>
    </w:p>
    <w:p>
      <w:pPr>
        <w:pStyle w:val="Heading2"/>
      </w:pPr>
      <w:r>
        <w:t>Volltext</w:t>
      </w:r>
    </w:p>
    <w:p>
      <w:r>
        <w:t>St.Gallen Kantonsgericht Zivilkammern (inkl. Einzelrichter) 25.05.2007 BZ.2006.30</w:t>
      </w:r>
    </w:p>
    <w:p>
      <w:r>
        <w:t>Art. 8 ZGB (SR 210); Art. 168 OR (SR 220). Der Zessionar trägt die Beweislast für alle Tatsachen, aus denen er sein Recht ableitet. Der Datierung einer Zessionsurkunde kann Beweisfunktion zukommen; sie stellt jedoch kein Gültigkeitserfordernis dar. Durchführung von Partei- und Zeugenbefragungen bezüglich der Frage, ob zwischen dem Zedenten und der Beklagten ein Vertragsverhältnis bestand. Gutheissung der Berufung (Kantonsgericht St. Gallen, III. Zivilkammer, 25. Mai 2007, BZ.2006.30).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