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BZ.2005.9 vom 20. Juli 2005</w:t>
      </w:r>
    </w:p>
    <w:p>
      <w:r>
        <w:t>SG Gerichte, 2005-07-20, DE</w:t>
      </w:r>
    </w:p>
    <w:p>
      <w:r>
        <w:rPr>
          <w:b/>
        </w:rPr>
        <w:t xml:space="preserve">Quelle: </w:t>
      </w:r>
      <w:r>
        <w:t>https://mcp.opencaselaw.ch/entscheid/sg_gerichte_BZ.2005.9</w:t>
      </w:r>
    </w:p>
    <w:p>
      <w:r>
        <w:t>FR: SG_GERICHTE BZ.2005.9 du 20 juillet 2005</w:t>
      </w:r>
    </w:p>
    <w:p>
      <w:r>
        <w:t>IT: SG_GERICHTE BZ.2005.9 del 20 luglio 2005</w:t>
      </w:r>
    </w:p>
    <w:p>
      <w:pPr>
        <w:pStyle w:val="Heading2"/>
      </w:pPr>
      <w:r>
        <w:t>Regeste</w:t>
      </w:r>
    </w:p>
    <w:p>
      <w:r>
        <w:t>Art. 336 Abs. 1 lit. d OR. Trotz engem, zeitlichem Zusammenhang zwischen der Geltendmachung von Ansprüchen aus dem Arbeitsverhältnis und der Kündigung lag keine Rachekündigung vor. Insbesondere hatte die Arbeitnehmerin im Kündigungszeitpunkt kein Interesse mehr am Bestand des Arbeitsverhältnisses (Kantonsgericht St. Gallen, III. Zivilkammer, 20. Juli 2005, BZ.2005.9).</w:t>
      </w:r>
    </w:p>
    <w:p>
      <w:pPr>
        <w:pStyle w:val="Heading2"/>
      </w:pPr>
      <w:r>
        <w:t>Volltext</w:t>
      </w:r>
    </w:p>
    <w:p>
      <w:r>
        <w:t>St.Gallen Kantonsgericht Zivilkammern (inkl. Einzelrichter) 20.07.2005 BZ.2005.9</w:t>
      </w:r>
    </w:p>
    <w:p>
      <w:r>
        <w:t>Art. 336 Abs. 1 lit. d OR. Trotz engem, zeitlichem Zusammenhang zwischen der Geltendmachung von Ansprüchen aus dem Arbeitsverhältnis und der Kündigung lag keine Rachekündigung vor. Insbesondere hatte die Arbeitnehmerin im Kündigungszeitpunkt kein Interesse mehr am Bestand des Arbeitsverhältnisses (Kantonsgericht St. Gallen, III. Zivilkammer, 20. Juli 2005, BZ.2005.9).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