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BZ.2004.80 vom 26. Januar 2005</w:t>
      </w:r>
    </w:p>
    <w:p>
      <w:r>
        <w:t>SG Gerichte, 2005-01-26, DE</w:t>
      </w:r>
    </w:p>
    <w:p>
      <w:r>
        <w:rPr>
          <w:b/>
        </w:rPr>
        <w:t xml:space="preserve">Quelle: </w:t>
      </w:r>
      <w:r>
        <w:t>https://mcp.opencaselaw.ch/entscheid/sg_gerichte_BZ.2004.80</w:t>
      </w:r>
    </w:p>
    <w:p>
      <w:r>
        <w:t>FR: SG_GERICHTE BZ.2004.80 du 26 janvier 2005</w:t>
      </w:r>
    </w:p>
    <w:p>
      <w:r>
        <w:t>IT: SG_GERICHTE BZ.2004.80 del 26 gennaio 2005</w:t>
      </w:r>
    </w:p>
    <w:p>
      <w:pPr>
        <w:pStyle w:val="Heading2"/>
      </w:pPr>
      <w:r>
        <w:t>Regeste</w:t>
      </w:r>
    </w:p>
    <w:p>
      <w:r>
        <w:t>Art. 32ff. OR. Umstritten war, ob die Architektin die Erstellung der Wasserzuleitung und Kanalisation als Stellvertreterin des Grundstückeigentümers oder als Stellvertreterin der Dorfkorporation in Auftrag gegeben hatte. Aufgrund der Umstände war ersteres anzunehmen und somit im Hinblick auf die entsprechenden, eingeklagten Kosten die Passivlegitimation des Grundstückeigentümers zu bejahen (Kantonsgericht, Präsidentin der III. Zivilkammer, 26. Januar 2005, BZ.2004.80).</w:t>
      </w:r>
    </w:p>
    <w:p>
      <w:pPr>
        <w:pStyle w:val="Heading2"/>
      </w:pPr>
      <w:r>
        <w:t>Volltext</w:t>
      </w:r>
    </w:p>
    <w:p>
      <w:r>
        <w:t>St.Gallen Kantonsgericht Zivilkammern (inkl. Einzelrichter) 26.01.2005 BZ.2004.80</w:t>
      </w:r>
    </w:p>
    <w:p>
      <w:r>
        <w:t>Art. 32ff. OR. Umstritten war, ob die Architektin die Erstellung der Wasserzuleitung und Kanalisation als Stellvertreterin des Grundstückeigentümers oder als Stellvertreterin der Dorfkorporation in Auftrag gegeben hatte. Aufgrund der Umstände war ersteres anzunehmen und somit im Hinblick auf die entsprechenden, eingeklagten Kosten die Passivlegitimation des Grundstückeigentümers zu bejahen (Kantonsgericht, Präsidentin der III. Zivilkammer, 26. Januar 2005, BZ.2004.80).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