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BZ.2004.77, BZ.2004.78 vom 19. Dezember 2007</w:t>
      </w:r>
    </w:p>
    <w:p>
      <w:r>
        <w:t>SG Gerichte, 2007-12-19, DE</w:t>
      </w:r>
    </w:p>
    <w:p>
      <w:r>
        <w:rPr>
          <w:b/>
        </w:rPr>
        <w:t xml:space="preserve">Quelle: </w:t>
      </w:r>
      <w:r>
        <w:t>https://mcp.opencaselaw.ch/entscheid/sg_gerichte_BZ.2004.77__BZ.2004.78</w:t>
      </w:r>
    </w:p>
    <w:p>
      <w:r>
        <w:t>FR: SG_GERICHTE BZ.2004.77, BZ.2004.78 du 19 décembre 2007</w:t>
      </w:r>
    </w:p>
    <w:p>
      <w:r>
        <w:t>IT: SG_GERICHTE BZ.2004.77, BZ.2004.78 del 19 dicembre 2007</w:t>
      </w:r>
    </w:p>
    <w:p>
      <w:pPr>
        <w:pStyle w:val="Heading2"/>
      </w:pPr>
      <w:r>
        <w:t>Regeste</w:t>
      </w:r>
    </w:p>
    <w:p>
      <w:r>
        <w:t>Art. 42 Abs. 2, 322b Abs. 3, 337, 337d Abs. 1, 340 Abs. 2 und 350a Abs. 1 OR (SR 220). Klage gegen den Arbeitnehmer zufolge ungerechtfertigter fristloser Kündigung. Schadenersatzforderung (erlittene Umsatzeinbusse) sowie Konventionalstrafe wegen Verletzung des Konkurrenzverbots. Widerklage des Arbeitnehmers (Auszahlung ausstehender Provisionen und des Guthabens auf dem Garantiekonto). Schätzung des mutmasslich erwirtschafteten Umsatzes. Durchführung eines Expertiseverfahrens zur Ermittlung der Schadensquote. Teilweise Gutheissung der Berufung und Anschlussberufung der Klägerin. Abweisung der Berufung des Beklagten (Kantonsgericht St. Gallen, III. Zivilkammer, 18. Juni 2007, BZ.2004.77/78).Das Kassationsgericht (mit Entscheid vom 19. Dezember 2007) und das Bundesgericht haben dieses Urteil bestätigt (Urteil 4A_68/2008 neues Fenster vom 10. Juli 2008).</w:t>
      </w:r>
    </w:p>
    <w:p>
      <w:pPr>
        <w:pStyle w:val="Heading2"/>
      </w:pPr>
      <w:r>
        <w:t>Volltext</w:t>
      </w:r>
    </w:p>
    <w:p>
      <w:r>
        <w:t>St.Gallen Versicherungsgericht 18.06.2007 BZ.2004.77, BZ.2004.78 Saint-Gall Versicherungsgericht 18.06.2007 BZ.2004.77, BZ.2004.78 San Gallo Versicherungsgericht 18.06.2007 BZ.2004.77, BZ.2004.78</w:t>
      </w:r>
    </w:p>
    <w:p>
      <w:r>
        <w:t>Art. 42 Abs. 2, 322b Abs. 3, 337, 337d Abs. 1, 340 Abs. 2 und 350a Abs. 1 OR (SR 220). Klage gegen den Arbeitnehmer zufolge ungerechtfertigter fristloser Kündigung. Schadenersatzforderung (erlittene Umsatzeinbusse) sowie Konventionalstrafe wegen Verletzung des Konkurrenzverbots. Widerklage des Arbeitnehmers (Auszahlung ausstehender Provisionen und des Guthabens auf dem Garantiekonto). Schätzung des mutmasslich erwirtschafteten Umsatzes. Durchführung eines Expertiseverfahrens zur Ermittlung der Schadensquote. Teilweise Gutheissung der Berufung und Anschlussberufung der Klägerin. Abweisung der Berufung des Beklagten (Kantonsgericht St. Gallen, III. Zivilkammer, 18. Juni 2007, BZ.2004.77/78).Das Kassationsgericht (mit Entscheid vom 19. Dezember 2007) und das Bundesgericht haben dieses Urteil bestätigt (Urteil 4A_68/2008 neues Fenster vom 10. Juli 2008).</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