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BZ.2004.40 vom 4. Januar 2006</w:t>
      </w:r>
    </w:p>
    <w:p>
      <w:r>
        <w:t>SG Gerichte, 2006-01-04, DE</w:t>
      </w:r>
    </w:p>
    <w:p>
      <w:r>
        <w:rPr>
          <w:b/>
        </w:rPr>
        <w:t xml:space="preserve">Quelle: </w:t>
      </w:r>
      <w:r>
        <w:t>https://mcp.opencaselaw.ch/entscheid/sg_gerichte_BZ.2004.40</w:t>
      </w:r>
    </w:p>
    <w:p>
      <w:r>
        <w:t>FR: SG_GERICHTE BZ.2004.40 du 4 janvier 2006</w:t>
      </w:r>
    </w:p>
    <w:p>
      <w:r>
        <w:t>IT: SG_GERICHTE BZ.2004.40 del 4 gennaio 2006</w:t>
      </w:r>
    </w:p>
    <w:p>
      <w:pPr>
        <w:pStyle w:val="Heading2"/>
      </w:pPr>
      <w:r>
        <w:t>Regeste</w:t>
      </w:r>
    </w:p>
    <w:p>
      <w:r>
        <w:t>Art. 58 ff. SVG (SR 741.01) Beurteilung der Ansprüche des Geschädigten gegenüber dem Motorfahrzeughaftpflichtversicherer. Insbesondere Festlegung des Valideneinkommens des Klägers (Erw. III/1), des Umfangs der Erwerbsunfähigkeit (Erw. III/2), des Rentenschadens (Erw. III/3) und des Haushaltschadens (Erw. III/4). Voraussetzungen, unter welchen vorprozessuale Anwaltskosten einen Schadenersatzanspruch begründen (Erw. III/6) und Bestimmung der Haftungsquote (Erw. III/7.c) (Kantonsgericht St. Gallen, III. Zivilkammer, 4. Januar 2006, BZ.2004.40).</w:t>
      </w:r>
    </w:p>
    <w:p>
      <w:pPr>
        <w:pStyle w:val="Heading2"/>
      </w:pPr>
      <w:r>
        <w:t>Volltext</w:t>
      </w:r>
    </w:p>
    <w:p>
      <w:r>
        <w:t>St.Gallen Kantonsgericht Zivilkammern (inkl. Einzelrichter) 04.01.2006 BZ.2004.40</w:t>
      </w:r>
    </w:p>
    <w:p>
      <w:r>
        <w:t>Art. 58 ff. SVG (SR 741.01) Beurteilung der Ansprüche des Geschädigten gegenüber dem Motorfahrzeughaftpflichtversicherer. Insbesondere Festlegung des Valideneinkommens des Klägers (Erw. III/1), des Umfangs der Erwerbsunfähigkeit (Erw. III/2), des Rentenschadens (Erw. III/3) und des Haushaltschadens (Erw. III/4). Voraussetzungen, unter welchen vorprozessuale Anwaltskosten einen Schadenersatzanspruch begründen (Erw. III/6) und Bestimmung der Haftungsquote (Erw. III/7.c) (Kantonsgericht St. Gallen, III. Zivilkammer, 4. Januar 2006, BZ.2004.40).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