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BZ.2004.38 vom 4. November 2004</w:t>
      </w:r>
    </w:p>
    <w:p>
      <w:r>
        <w:t>SG Gerichte, 2004-11-04, DE</w:t>
      </w:r>
    </w:p>
    <w:p>
      <w:r>
        <w:rPr>
          <w:b/>
        </w:rPr>
        <w:t xml:space="preserve">Quelle: </w:t>
      </w:r>
      <w:r>
        <w:t>https://mcp.opencaselaw.ch/entscheid/sg_gerichte_BZ.2004.38</w:t>
      </w:r>
    </w:p>
    <w:p>
      <w:r>
        <w:t>FR: SG_GERICHTE BZ.2004.38 du 4 novembre 2004</w:t>
      </w:r>
    </w:p>
    <w:p>
      <w:r>
        <w:t>IT: SG_GERICHTE BZ.2004.38 del 4 novembre 2004</w:t>
      </w:r>
    </w:p>
    <w:p>
      <w:pPr>
        <w:pStyle w:val="Heading2"/>
      </w:pPr>
      <w:r>
        <w:t>Regeste</w:t>
      </w:r>
    </w:p>
    <w:p>
      <w:r>
        <w:t>Art. 21, Art. 29, Art. 259d und Art. 264 Abs. 1 OR (SR 220). Zu prüfen ist, bis zu welchem Zeitpunkt die Beklagte den Mietzins für die von ihr gemietete Wohnung zu bezahlen hat, insbesondere ob sie einen tauglichen Ersatzmieter gestellt hatte. (Kantonsgericht, Präsidentin der III. Zivilkammer, 4. November 2004, BZ.2004.38).</w:t>
      </w:r>
    </w:p>
    <w:p>
      <w:pPr>
        <w:pStyle w:val="Heading2"/>
      </w:pPr>
      <w:r>
        <w:t>Volltext</w:t>
      </w:r>
    </w:p>
    <w:p>
      <w:r>
        <w:t>St.Gallen Kantonsgericht Zivilkammern (inkl. Einzelrichter) 04.11.2004 BZ.2004.38</w:t>
      </w:r>
    </w:p>
    <w:p>
      <w:r>
        <w:t>Art. 21, Art. 29, Art. 259d und Art. 264 Abs. 1 OR (SR 220). Zu prüfen ist, bis zu welchem Zeitpunkt die Beklagte den Mietzins für die von ihr gemietete Wohnung zu bezahlen hat, insbesondere ob sie einen tauglichen Ersatzmieter gestellt hatte. (Kantonsgericht, Präsidentin der III. Zivilkammer, 4. November 2004, BZ.2004.38).</w:t>
      </w:r>
    </w:p>
    <w:p>
      <w:r>
        <w:t>St.Gallen Kantonsgericht Zivilkammern (inkl. Einzelrichter) Saint-Gall Zivilkammern (inkl. Einzelrichter) San Gallo Zivilkammern (inkl.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