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BZ.2004.24 vom 18. November 2004</w:t>
      </w:r>
    </w:p>
    <w:p>
      <w:r>
        <w:t>SG Gerichte, 2004-11-18, DE</w:t>
      </w:r>
    </w:p>
    <w:p>
      <w:r>
        <w:rPr>
          <w:b/>
        </w:rPr>
        <w:t xml:space="preserve">Quelle: </w:t>
      </w:r>
      <w:r>
        <w:t>https://mcp.opencaselaw.ch/entscheid/sg_gerichte_BZ.2004.24</w:t>
      </w:r>
    </w:p>
    <w:p>
      <w:r>
        <w:t>FR: SG_GERICHTE BZ.2004.24 du 18 novembre 2004</w:t>
      </w:r>
    </w:p>
    <w:p>
      <w:r>
        <w:t>IT: SG_GERICHTE BZ.2004.24 del 18 novembre 2004</w:t>
      </w:r>
    </w:p>
    <w:p>
      <w:pPr>
        <w:pStyle w:val="Heading2"/>
      </w:pPr>
      <w:r>
        <w:t>Regeste</w:t>
      </w:r>
    </w:p>
    <w:p>
      <w:r>
        <w:t>Art. 321c Abs. 1-3 OR. Zusprechung von Überstundenentsschädigung nach Auflösung des Arbeitsverhältnisses. Frage offengelassen, ob der Arbeitnehmer höher leitender Angestellter war, da eine feste wöchentliche Arbeitszeit vereinbart und Art. 321c OR aus diesem Grund ohnehin anwendbar war. Rechtsgültige Wegbedingung der Überstundenentschädigung verneint. Nachträchliche Genehmigung der geleisteten Überstunden bejaht, da der Arbeitnehmer seine Arbeitszeiten mit dem im Betrieb üblichen Kontrollsystem regelmässig erfasst hatte und die Arbeitgeberin gegen die Leistung von Überstunden nicht eingeschritten war. Rechtsmissbräuchliche Geltendmachung der Überstundenentschädigung verneint (Kantonsgericht, III. Zivilkammer, 18. November 2004, BZ.2004.24).</w:t>
      </w:r>
    </w:p>
    <w:p>
      <w:pPr>
        <w:pStyle w:val="Heading2"/>
      </w:pPr>
      <w:r>
        <w:t>Volltext</w:t>
      </w:r>
    </w:p>
    <w:p>
      <w:r>
        <w:t>St.Gallen Kantonsgericht Zivilkammern (inkl. Einzelrichter) 18.11.2004 BZ.2004.24</w:t>
      </w:r>
    </w:p>
    <w:p>
      <w:r>
        <w:t>Art. 321c Abs. 1-3 OR. Zusprechung von Überstundenentsschädigung nach Auflösung des Arbeitsverhältnisses. Frage offengelassen, ob der Arbeitnehmer höher leitender Angestellter war, da eine feste wöchentliche Arbeitszeit vereinbart und Art. 321c OR aus diesem Grund ohnehin anwendbar war. Rechtsgültige Wegbedingung der Überstundenentschädigung verneint. Nachträchliche Genehmigung der geleisteten Überstunden bejaht, da der Arbeitnehmer seine Arbeitszeiten mit dem im Betrieb üblichen Kontrollsystem regelmässig erfasst hatte und die Arbeitgeberin gegen die Leistung von Überstunden nicht eingeschritten war. Rechtsmissbräuchliche Geltendmachung der Überstundenentschädigung verneint (Kantonsgericht, III. Zivilkammer, 18. November 2004, BZ.2004.24).</w:t>
      </w:r>
    </w:p>
    <w:p>
      <w:r>
        <w:t>St.Gallen Kantonsgericht Zivilkammern (inkl. Einzelrichter) Saint-Gall Zivilkammern (inkl. Einzelrichter) San Gallo Zivilkammern (inkl.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