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BZ.2004.12 vom 21. Oktober 2004</w:t>
      </w:r>
    </w:p>
    <w:p>
      <w:r>
        <w:t>SG Gerichte, 2004-10-21, DE</w:t>
      </w:r>
    </w:p>
    <w:p>
      <w:r>
        <w:rPr>
          <w:b/>
        </w:rPr>
        <w:t xml:space="preserve">Quelle: </w:t>
      </w:r>
      <w:r>
        <w:t>https://mcp.opencaselaw.ch/entscheid/sg_gerichte_BZ.2004.12</w:t>
      </w:r>
    </w:p>
    <w:p>
      <w:r>
        <w:t>FR: SG_GERICHTE BZ.2004.12 du 21 octobre 2004</w:t>
      </w:r>
    </w:p>
    <w:p>
      <w:r>
        <w:t>IT: SG_GERICHTE BZ.2004.12 del 21 ottobre 2004</w:t>
      </w:r>
    </w:p>
    <w:p>
      <w:pPr>
        <w:pStyle w:val="Heading2"/>
      </w:pPr>
      <w:r>
        <w:t>Regeste</w:t>
      </w:r>
    </w:p>
    <w:p>
      <w:r>
        <w:t>Art. 337, 337c OR. Unberechtigte fristlose Entlassung, da die - angebglich - erfolgte Verwarnung von der Arbeitgeberin nachträglich jedenfalls weitgehend relativiert wurde, womit sie ihre Warnwirkung verloren hat. Zusprechung von Lohnersatz bis zum Ablauf der ordentlichen Kündigungsfrist sowie von einer Entschädigung für nicht bezogene Ferien (Kantonsgericht, III. Zivilkammer, 21. Oktober 2004, BZ.2004.12).</w:t>
      </w:r>
    </w:p>
    <w:p>
      <w:pPr>
        <w:pStyle w:val="Heading2"/>
      </w:pPr>
      <w:r>
        <w:t>Volltext</w:t>
      </w:r>
    </w:p>
    <w:p>
      <w:r>
        <w:t>St.Gallen Kantonsgericht Zivilkammern (inkl. Einzelrichter) 21.10.2004 BZ.2004.12</w:t>
      </w:r>
    </w:p>
    <w:p>
      <w:r>
        <w:t>Art. 337, 337c OR. Unberechtigte fristlose Entlassung, da die - angebglich - erfolgte Verwarnung von der Arbeitgeberin nachträglich jedenfalls weitgehend relativiert wurde, womit sie ihre Warnwirkung verloren hat. Zusprechung von Lohnersatz bis zum Ablauf der ordentlichen Kündigungsfrist sowie von einer Entschädigung für nicht bezogene Ferien (Kantonsgericht, III. Zivilkammer, 21. Oktober 2004, BZ.2004.12).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