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2014/1 vom 4. März 2015</w:t>
      </w:r>
    </w:p>
    <w:p>
      <w:r>
        <w:t>SG Gerichte, 2015-03-04, DE</w:t>
      </w:r>
    </w:p>
    <w:p>
      <w:r>
        <w:rPr>
          <w:b/>
        </w:rPr>
        <w:t xml:space="preserve">Quelle: </w:t>
      </w:r>
      <w:r>
        <w:t>https://mcp.opencaselaw.ch/entscheid/sg_gerichte_BV_2014_1</w:t>
      </w:r>
    </w:p>
    <w:p>
      <w:r>
        <w:t>FR: SG_GERICHTE BV 2014/1 du 4 mars 2015</w:t>
      </w:r>
    </w:p>
    <w:p>
      <w:r>
        <w:t>IT: SG_GERICHTE BV 2014/1 del 4 marzo 2015</w:t>
      </w:r>
    </w:p>
    <w:p>
      <w:pPr>
        <w:pStyle w:val="Heading2"/>
      </w:pPr>
      <w:r>
        <w:t>Regeste</w:t>
      </w:r>
    </w:p>
    <w:p>
      <w:r>
        <w:t>Art. 23 lit. a BVG: Bindungswirkung der Feststellungen der Organe der Invalidenversicherung gegenüber der Vorsorgeeinrichtung verneint mangels formellen Einbezugs in das invalidenversicherungsrechtliche Verfahren (Eröffnung von Vorbescheid und Verfügung) und mangels materieller Behandlung der konkreten Fragestellung (Entscheidwesentlichkeit) im invalidenversicherungsrechtlichen Verfahren.Art. 23 lit. a BVG: Enger sachlicher und zeitlicher Zusammenhang zwischen der während der Dauer des Vorsorgeverhältnisses bestandenen Arbeitsunfähigkeit und der später eingetretenen Invalidität bejaht.Art. 23 lit. a BVG: Verzinslichkeit bei verspäteter Auszahlung der Invalidenleistungen. Höhe des Zinses gemäss Reglement; subsidiär 5 % p.a. Beginn des Zinsenlaufs am Tag der Anhebung der Betreibung oder der gerichtlichen Klage (BGE 119 V 133 E. 4).(Entscheid des Versicherungsgerichts des Kantons St. Gallen vom 4. März 2015, BV 2014/1).Vizepräsidentin Miriam Lendfers, Versicherungsrichter Joachim Huber, Versicherungs­richterin Marie-Theres Rüegg Haltinner; a.o. Gerichtsschreiber Silvan BötschiEntscheid vom 4. März 2015 in SachenA.___,Klägerin,vertreten durch Rechtsanwältin Dr. iur. Romana Weber, GN Rechtsanwälte, St. Leonhard-Strasse 20, Postfach, 9001 St. Gallen,gegen1.    Stiftung Auffangeinrichtung BVG, Risikoversicherungfür Arbeitslose, Postfach, 8036 Zürich,vertreten durch Stiftung Auffangeinrichtung BVG, Rechtsdienst, Weststrasse 50, Postfach, 8036 Zürich,Beklagte 1,2.    AXA Stiftung Berufliche Vorsorge c/o AXA Leben AG, Legal &amp; Compliance, Postfach 300, 8401 Winterthur,Beklagte 2,betreffendInvalidenrenteSachverhalt:</w:t>
      </w:r>
    </w:p>
    <w:p>
      <w:pPr>
        <w:pStyle w:val="Heading2"/>
      </w:pPr>
      <w:r>
        <w:t>Volltext</w:t>
      </w:r>
    </w:p>
    <w:p>
      <w:r>
        <w:t>St.Gallen Versicherungsgericht 04.03.2015 BV 2014/1 Saint-Gall Versicherungsgericht 04.03.2015 BV 2014/1 San Gallo Versicherungsgericht 04.03.2015 BV 2014/1</w:t>
      </w:r>
    </w:p>
    <w:p>
      <w:r>
        <w:t>Art. 23 lit. a BVG: Bindungswirkung der Feststellungen der Organe der Invalidenversicherung gegenüber der Vorsorgeeinrichtung verneint mangels formellen Einbezugs in das invalidenversicherungsrechtliche Verfahren (Eröffnung von Vorbescheid und Verfügung) und mangels materieller Behandlung der konkreten Fragestellung (Entscheidwesentlichkeit) im invalidenversicherungsrechtlichen Verfahren.Art. 23 lit. a BVG: Enger sachlicher und zeitlicher Zusammenhang zwischen der während der Dauer des Vorsorgeverhältnisses bestandenen Arbeitsunfähigkeit und der später eingetretenen Invalidität bejaht.Art. 23 lit. a BVG: Verzinslichkeit bei verspäteter Auszahlung der Invalidenleistungen. Höhe des Zinses gemäss Reglement; subsidiär 5 % p.a. Beginn des Zinsenlaufs am Tag der Anhebung der Betreibung oder der gerichtlichen Klage (BGE 119 V 133 E. 4).(Entscheid des Versicherungsgerichts des Kantons St. Gallen vom 4. März 2015, BV 2014/1).Vizepräsidentin Miriam Lendfers, Versicherungsrichter Joachim Huber, Versicherungs­richterin Marie-Theres Rüegg Haltinner; a.o. Gerichtsschreiber Silvan BötschiEntscheid vom 4. März 2015 in SachenA.___,Klägerin,vertreten durch Rechtsanwältin Dr. iur. Romana Weber, GN Rechtsanwälte, St. Leonhard-Strasse 20, Postfach, 9001 St. Gallen,gegen1.    Stiftung Auffangeinrichtung BVG, Risikoversicherungfür Arbeitslose, Postfach, 8036 Zürich,vertreten durch Stiftung Auffangeinrichtung BVG, Rechtsdienst, Weststrasse 50, Postfach, 8036 Zürich,Beklagte 1,2.    AXA Stiftung Berufliche Vorsorge c/o AXA Leben AG, Legal &amp; Compliance, Postfach 300, 8401 Winterthur,Beklagte 2,betreffendInvalidenrenteSachverhalt: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