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BV 2006/16 vom 19. Oktober 2007</w:t>
      </w:r>
    </w:p>
    <w:p>
      <w:r>
        <w:t>SG Gerichte, 2007-10-19, DE</w:t>
      </w:r>
    </w:p>
    <w:p>
      <w:r>
        <w:rPr>
          <w:b/>
        </w:rPr>
        <w:t xml:space="preserve">Quelle: </w:t>
      </w:r>
      <w:r>
        <w:t>https://mcp.opencaselaw.ch/entscheid/sg_gerichte_BV_2006_16</w:t>
      </w:r>
    </w:p>
    <w:p>
      <w:r>
        <w:t>FR: SG_GERICHTE BV 2006/16 du 19 octobre 2007</w:t>
      </w:r>
    </w:p>
    <w:p>
      <w:r>
        <w:t>IT: SG_GERICHTE BV 2006/16 del 19 ottobre 2007</w:t>
      </w:r>
    </w:p>
    <w:p>
      <w:pPr>
        <w:pStyle w:val="Heading2"/>
      </w:pPr>
      <w:r>
        <w:t>Regeste</w:t>
      </w:r>
    </w:p>
    <w:p>
      <w:r>
        <w:t>Art. 52 BVG, Art. 73 Abs. 3 BVG. Die Verantwortlichkeitsklage kann auch am Sitz/Wohnsitz der klagenden Vorsorgeeinrichtung erhoben werden (vgl. Art. 25 und 29 GestG) (Entscheid des Versicherungsgerichts des Kantons St. Gallen vom 19. Oktober 2007, BV 2006/16).</w:t>
      </w:r>
    </w:p>
    <w:p>
      <w:pPr>
        <w:pStyle w:val="Heading2"/>
      </w:pPr>
      <w:r>
        <w:t>Volltext</w:t>
      </w:r>
    </w:p>
    <w:p>
      <w:r>
        <w:t>St.Gallen Versicherungsgericht 19.10.2007 BV 2006/16 Saint-Gall Versicherungsgericht 19.10.2007 BV 2006/16 San Gallo Versicherungsgericht 19.10.2007 BV 2006/16</w:t>
      </w:r>
    </w:p>
    <w:p>
      <w:r>
        <w:t>Art. 52 BVG, Art. 73 Abs. 3 BVG. Die Verantwortlichkeitsklage kann auch am Sitz/Wohnsitz der klagenden Vorsorgeeinrichtung erhoben werden (vgl. Art. 25 und 29 GestG) (Entscheid des Versicherungsgerichts des Kantons St. Gallen vom 19. Oktober 2007, BV 2006/16).</w:t>
      </w:r>
    </w:p>
    <w:p>
      <w:r>
        <w:t>St.Gallen Versicherungsgericht Saint-Gall Versicherungsgericht San Gallo Versicherungsgericht BV - berufliche Vorsorge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