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BS.2012.5 vom 5. April 2012</w:t>
      </w:r>
    </w:p>
    <w:p>
      <w:r>
        <w:t>SG Gerichte, 2012-04-05, DE</w:t>
      </w:r>
    </w:p>
    <w:p>
      <w:r>
        <w:rPr>
          <w:b/>
        </w:rPr>
        <w:t xml:space="preserve">Quelle: </w:t>
      </w:r>
      <w:r>
        <w:t>https://mcp.opencaselaw.ch/entscheid/sg_gerichte_BS.2012.5</w:t>
      </w:r>
    </w:p>
    <w:p>
      <w:r>
        <w:t>FR: SG_GERICHTE BS.2012.5 du 5 avril 2012</w:t>
      </w:r>
    </w:p>
    <w:p>
      <w:r>
        <w:t>IT: SG_GERICHTE BS.2012.5 del 5 aprile 2012</w:t>
      </w:r>
    </w:p>
    <w:p>
      <w:pPr>
        <w:pStyle w:val="Heading2"/>
      </w:pPr>
      <w:r>
        <w:t>Regeste</w:t>
      </w:r>
    </w:p>
    <w:p>
      <w:r>
        <w:t>Art. 158 Abs. 1 lit. b ZPO (SR 272). Für die beantragte vorsorgliche Beweisführung ist lediglich "ein schutzwürdiges Interesse" an der Beweiserhebung als solcher, an welches zudem keine hohen Anforderungen gestellt werden dürfen, glaubhaft zu machen. Schutzwürdig ist unter anderem die vorsorgliche Beweisführung, die zwecks Abklärung von Beweis- und Prozesschancen anbegehrt wird (Kantonsgericht St. Gallen, Einzelrichter im Obligationenrecht, 5. April 2012, BS.2012.5).</w:t>
      </w:r>
    </w:p>
    <w:p>
      <w:pPr>
        <w:pStyle w:val="Heading2"/>
      </w:pPr>
      <w:r>
        <w:t>Volltext</w:t>
      </w:r>
    </w:p>
    <w:p>
      <w:r>
        <w:t>St.Gallen Kantonsgericht Zivilkammern (inkl. Einzelrichter) 05.04.2012 BS.2012.5</w:t>
      </w:r>
    </w:p>
    <w:p>
      <w:r>
        <w:t>Art. 158 Abs. 1 lit. b ZPO (SR 272). Für die beantragte vorsorgliche Beweisführung ist lediglich "ein schutzwürdiges Interesse" an der Beweiserhebung als solcher, an welches zudem keine hohen Anforderungen gestellt werden dürfen, glaubhaft zu machen. Schutzwürdig ist unter anderem die vorsorgliche Beweisführung, die zwecks Abklärung von Beweis- und Prozesschancen anbegehrt wird (Kantonsgericht St. Gallen, Einzelrichter im Obligationenrecht, 5. April 2012, BS.2012.5).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