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BS.2011.5 vom 29. März 2011</w:t>
      </w:r>
    </w:p>
    <w:p>
      <w:r>
        <w:t>SG Gerichte, 2011-03-29, DE</w:t>
      </w:r>
    </w:p>
    <w:p>
      <w:r>
        <w:rPr>
          <w:b/>
        </w:rPr>
        <w:t xml:space="preserve">Quelle: </w:t>
      </w:r>
      <w:r>
        <w:t>https://mcp.opencaselaw.ch/entscheid/sg_gerichte_BS.2011.5</w:t>
      </w:r>
    </w:p>
    <w:p>
      <w:r>
        <w:t>FR: SG_GERICHTE BS.2011.5 du 29 mars 2011</w:t>
      </w:r>
    </w:p>
    <w:p>
      <w:r>
        <w:t>IT: SG_GERICHTE BS.2011.5 del 29 marzo 2011</w:t>
      </w:r>
    </w:p>
    <w:p>
      <w:pPr>
        <w:pStyle w:val="Heading2"/>
      </w:pPr>
      <w:r>
        <w:t>Regeste</w:t>
      </w:r>
    </w:p>
    <w:p>
      <w:r>
        <w:t>Streitwertberechnung bei Mieterstreckung. Fehlerhafte Rechtsmittelbelehrung. Die Unwirksamkeit (z.B. wegen Willensmängeln wie Irrtümern) von - das Verfahren beendigenden - Prozesserklärungen (in casu teilweise Anerkennung und Klagerückzug im Übrigen) sind mit den ordentlichen Rechtsmitteln, spätestens aber mit der Revision gegen den Abschreibungsbeschluss geltend zu machen (Kantonsgericht St. Gallen, Einzelrichter im Obligationenrecht, 29. März 2011, BS.2011.5).</w:t>
      </w:r>
    </w:p>
    <w:p>
      <w:pPr>
        <w:pStyle w:val="Heading2"/>
      </w:pPr>
      <w:r>
        <w:t>Volltext</w:t>
      </w:r>
    </w:p>
    <w:p>
      <w:r>
        <w:t>St.Gallen Kantonsgericht Zivilkammern (inkl. Einzelrichter) 29.03.2011 BS.2011.5</w:t>
      </w:r>
    </w:p>
    <w:p>
      <w:r>
        <w:t>Streitwertberechnung bei Mieterstreckung. Fehlerhafte Rechtsmittelbelehrung. Die Unwirksamkeit (z.B. wegen Willensmängeln wie Irrtümern) von - das Verfahren beendigenden - Prozesserklärungen (in casu teilweise Anerkennung und Klagerückzug im Übrigen) sind mit den ordentlichen Rechtsmitteln, spätestens aber mit der Revision gegen den Abschreibungsbeschluss geltend zu machen (Kantonsgericht St. Gallen, Einzelrichter im Obligationenrecht, 29. März 2011, BS.2011.5).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