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BR.2010.2 vom 18. Januar 2011</w:t>
      </w:r>
    </w:p>
    <w:p>
      <w:r>
        <w:t>SG Gerichte, 2011-01-18, DE</w:t>
      </w:r>
    </w:p>
    <w:p>
      <w:r>
        <w:rPr>
          <w:b/>
        </w:rPr>
        <w:t xml:space="preserve">Quelle: </w:t>
      </w:r>
      <w:r>
        <w:t>https://mcp.opencaselaw.ch/entscheid/sg_gerichte_BR.2010.2</w:t>
      </w:r>
    </w:p>
    <w:p>
      <w:r>
        <w:t>FR: SG_GERICHTE BR.2010.2 du 18 janvier 2011</w:t>
      </w:r>
    </w:p>
    <w:p>
      <w:r>
        <w:t>IT: SG_GERICHTE BR.2010.2 del 18 gennaio 2011</w:t>
      </w:r>
    </w:p>
    <w:p>
      <w:pPr>
        <w:pStyle w:val="Heading2"/>
      </w:pPr>
      <w:r>
        <w:t>Regeste</w:t>
      </w:r>
    </w:p>
    <w:p>
      <w:r>
        <w:t>Art. 8, insbes. Art. 8 Abs. 1 lit. d, Art. 12 lit. b, Art 13 BGFA (SR 935.61). Anwälte, die als Angestellte einer als Kapitalgesellschaft organisierten Anwaltskanzlei tätig sind, sind vom Eintrag in das Anwaltsregister ausgeschlossen (Kantonsgericht St. Gallen, III. Zivilkammer, 18. Januar 2011, BR.2010.2).</w:t>
      </w:r>
    </w:p>
    <w:p>
      <w:pPr>
        <w:pStyle w:val="Heading2"/>
      </w:pPr>
      <w:r>
        <w:t>Volltext</w:t>
      </w:r>
    </w:p>
    <w:p>
      <w:r>
        <w:t>St.Gallen Kantonsgericht Zivilkammern (inkl. Einzelrichter) 18.01.2011 BR.2010.2</w:t>
      </w:r>
    </w:p>
    <w:p>
      <w:r>
        <w:t>Art. 8, insbes. Art. 8 Abs. 1 lit. d, Art. 12 lit. b, Art 13 BGFA (SR 935.61). Anwälte, die als Angestellte einer als Kapitalgesellschaft organisierten Anwaltskanzlei tätig sind, sind vom Eintrag in das Anwaltsregister ausgeschlossen (Kantonsgericht St. Gallen, III. Zivilkammer, 18. Januar 2011, BR.2010.2).</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