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BO.2023.1-K3 vom 16. August 2024</w:t>
      </w:r>
    </w:p>
    <w:p>
      <w:r>
        <w:t>SG Gerichte, 2024-08-16, DE</w:t>
      </w:r>
    </w:p>
    <w:p>
      <w:r>
        <w:rPr>
          <w:b/>
        </w:rPr>
        <w:t xml:space="preserve">Quelle: </w:t>
      </w:r>
      <w:r>
        <w:t>https://mcp.opencaselaw.ch/entscheid/sg_gerichte_BO.2023.1-K3</w:t>
      </w:r>
    </w:p>
    <w:p>
      <w:r>
        <w:t>FR: SG_GERICHTE BO.2023.1-K3 du 16 août 2024</w:t>
      </w:r>
    </w:p>
    <w:p>
      <w:r>
        <w:t>IT: SG_GERICHTE BO.2023.1-K3 del 16 agosto 2024</w:t>
      </w:r>
    </w:p>
    <w:p>
      <w:pPr>
        <w:pStyle w:val="Heading2"/>
      </w:pPr>
      <w:r>
        <w:t>Regeste</w:t>
      </w:r>
    </w:p>
    <w:p>
      <w:r>
        <w:t>Art. 18 und Art. 151 OR: Abgrenzung zwischen Suspensivbedingung und Aufschub der Fälligkeit; eine zum Teil aufschiebend bedingte Hauptpflicht kann den ganzen Vertrag als bedingt erscheinen lassen. Untergang des Vertrags bei definitivem Ausfall der Suspensivbedingung (E.III/3/e/ii). (Kantonsgericht, III. Zivilkammer, 16. August 2024, BO.2023.1-K3).</w:t>
      </w:r>
    </w:p>
    <w:p>
      <w:pPr>
        <w:pStyle w:val="Heading2"/>
      </w:pPr>
      <w:r>
        <w:t>Volltext</w:t>
      </w:r>
    </w:p>
    <w:p>
      <w:r>
        <w:t>St.Gallen Kantonsgericht Zivilkammern (inkl. Einzelrichter) 16.08.2024 BO.2023.1-K3</w:t>
      </w:r>
    </w:p>
    <w:p>
      <w:r>
        <w:t>Art. 18 und Art. 151 OR: Abgrenzung zwischen Suspensivbedingung und Aufschub der Fälligkeit; eine zum Teil aufschiebend bedingte Hauptpflicht kann den ganzen Vertrag als bedingt erscheinen lassen. Untergang des Vertrags bei definitivem Ausfall der Suspensivbedingung (E.III/3/e/ii). (Kantonsgericht, III. Zivilkammer, 16. August 2024, BO.2023.1-K3).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